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Ind w:w="-22" w:type="dxa"/>
        <w:tblCellMar>
          <w:left w:w="0" w:type="dxa"/>
          <w:right w:w="0" w:type="dxa"/>
        </w:tblCellMar>
        <w:tblLook w:val="0000" w:firstRow="0" w:lastRow="0" w:firstColumn="0" w:lastColumn="0" w:noHBand="0" w:noVBand="0"/>
      </w:tblPr>
      <w:tblGrid>
        <w:gridCol w:w="3380"/>
        <w:gridCol w:w="6370"/>
      </w:tblGrid>
      <w:tr w:rsidR="008016F6" w:rsidRPr="008016F6" w14:paraId="3651BDAB" w14:textId="77777777" w:rsidTr="007035FF">
        <w:trPr>
          <w:trHeight w:val="827"/>
        </w:trPr>
        <w:tc>
          <w:tcPr>
            <w:tcW w:w="3380" w:type="dxa"/>
            <w:tcMar>
              <w:top w:w="0" w:type="dxa"/>
              <w:left w:w="108" w:type="dxa"/>
              <w:bottom w:w="0" w:type="dxa"/>
              <w:right w:w="108" w:type="dxa"/>
            </w:tcMar>
          </w:tcPr>
          <w:p w14:paraId="0E700C3D" w14:textId="145E8DF3" w:rsidR="00295E5E" w:rsidRPr="008016F6" w:rsidRDefault="007B19AD" w:rsidP="005D092A">
            <w:pPr>
              <w:ind w:firstLine="22"/>
              <w:jc w:val="center"/>
              <w:rPr>
                <w:b/>
                <w:bCs/>
              </w:rPr>
            </w:pPr>
            <w:r w:rsidRPr="008016F6">
              <w:rPr>
                <w:b/>
                <w:bCs/>
                <w:noProof/>
              </w:rPr>
              <mc:AlternateContent>
                <mc:Choice Requires="wps">
                  <w:drawing>
                    <wp:anchor distT="0" distB="0" distL="114300" distR="114300" simplePos="0" relativeHeight="251657216" behindDoc="0" locked="0" layoutInCell="1" allowOverlap="1" wp14:anchorId="2B39C4B5" wp14:editId="623C26D9">
                      <wp:simplePos x="0" y="0"/>
                      <wp:positionH relativeFrom="column">
                        <wp:posOffset>629285</wp:posOffset>
                      </wp:positionH>
                      <wp:positionV relativeFrom="paragraph">
                        <wp:posOffset>419735</wp:posOffset>
                      </wp:positionV>
                      <wp:extent cx="647700" cy="0"/>
                      <wp:effectExtent l="9525" t="5715" r="9525"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6E09"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33.05pt" to="100.5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"/>
                  </w:pict>
                </mc:Fallback>
              </mc:AlternateContent>
            </w:r>
            <w:r w:rsidR="00295E5E" w:rsidRPr="008016F6">
              <w:rPr>
                <w:b/>
                <w:bCs/>
              </w:rPr>
              <w:t>HỘI ĐỒNG NHÂN DÂN</w:t>
            </w:r>
            <w:r w:rsidR="00295E5E" w:rsidRPr="008016F6">
              <w:rPr>
                <w:b/>
                <w:bCs/>
              </w:rPr>
              <w:br/>
              <w:t xml:space="preserve">TỈNH </w:t>
            </w:r>
            <w:r w:rsidR="00DC5F05" w:rsidRPr="008016F6">
              <w:rPr>
                <w:b/>
                <w:bCs/>
              </w:rPr>
              <w:t>ĐỒNG NAI</w:t>
            </w:r>
            <w:r w:rsidR="00295E5E" w:rsidRPr="008016F6">
              <w:rPr>
                <w:b/>
                <w:bCs/>
              </w:rPr>
              <w:t xml:space="preserve"> </w:t>
            </w:r>
            <w:r w:rsidR="00295E5E" w:rsidRPr="008016F6">
              <w:rPr>
                <w:b/>
                <w:bCs/>
              </w:rPr>
              <w:br/>
            </w:r>
          </w:p>
        </w:tc>
        <w:tc>
          <w:tcPr>
            <w:tcW w:w="6370" w:type="dxa"/>
            <w:tcMar>
              <w:top w:w="0" w:type="dxa"/>
              <w:left w:w="108" w:type="dxa"/>
              <w:bottom w:w="0" w:type="dxa"/>
              <w:right w:w="108" w:type="dxa"/>
            </w:tcMar>
          </w:tcPr>
          <w:p w14:paraId="7B924AEF" w14:textId="77777777" w:rsidR="00295E5E" w:rsidRPr="008016F6" w:rsidRDefault="007B19AD" w:rsidP="005D092A">
            <w:pPr>
              <w:jc w:val="center"/>
              <w:rPr>
                <w:sz w:val="28"/>
                <w:szCs w:val="28"/>
              </w:rPr>
            </w:pPr>
            <w:r w:rsidRPr="008016F6">
              <w:rPr>
                <w:b/>
                <w:bCs/>
                <w:noProof/>
              </w:rPr>
              <mc:AlternateContent>
                <mc:Choice Requires="wps">
                  <w:drawing>
                    <wp:anchor distT="0" distB="0" distL="114300" distR="114300" simplePos="0" relativeHeight="251658240" behindDoc="0" locked="0" layoutInCell="1" allowOverlap="1" wp14:anchorId="38AB3D88" wp14:editId="1C64570F">
                      <wp:simplePos x="0" y="0"/>
                      <wp:positionH relativeFrom="column">
                        <wp:posOffset>828040</wp:posOffset>
                      </wp:positionH>
                      <wp:positionV relativeFrom="paragraph">
                        <wp:posOffset>400685</wp:posOffset>
                      </wp:positionV>
                      <wp:extent cx="2245995" cy="0"/>
                      <wp:effectExtent l="11430" t="5715" r="9525" b="133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DF6D"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31.55pt" to="242.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"/>
                  </w:pict>
                </mc:Fallback>
              </mc:AlternateContent>
            </w:r>
            <w:r w:rsidR="00295E5E" w:rsidRPr="008016F6">
              <w:rPr>
                <w:b/>
                <w:bCs/>
              </w:rPr>
              <w:t>CỘNG HÒA XÃ HỘI CHỦ NGHĨA VIỆT NAM</w:t>
            </w:r>
            <w:r w:rsidR="00295E5E" w:rsidRPr="008016F6">
              <w:rPr>
                <w:b/>
                <w:bCs/>
                <w:sz w:val="28"/>
                <w:szCs w:val="28"/>
              </w:rPr>
              <w:br/>
              <w:t>Độc lập - Tự do - Hạnh phúc</w:t>
            </w:r>
            <w:r w:rsidR="00295E5E" w:rsidRPr="008016F6">
              <w:rPr>
                <w:b/>
                <w:bCs/>
                <w:sz w:val="28"/>
                <w:szCs w:val="28"/>
              </w:rPr>
              <w:br/>
            </w:r>
          </w:p>
        </w:tc>
      </w:tr>
      <w:tr w:rsidR="008016F6" w:rsidRPr="008016F6" w14:paraId="14F30F04" w14:textId="77777777" w:rsidTr="007035FF">
        <w:trPr>
          <w:trHeight w:val="170"/>
        </w:trPr>
        <w:tc>
          <w:tcPr>
            <w:tcW w:w="3380" w:type="dxa"/>
            <w:tcMar>
              <w:top w:w="0" w:type="dxa"/>
              <w:left w:w="108" w:type="dxa"/>
              <w:bottom w:w="0" w:type="dxa"/>
              <w:right w:w="108" w:type="dxa"/>
            </w:tcMar>
          </w:tcPr>
          <w:p w14:paraId="78E612EC" w14:textId="3E845DA1" w:rsidR="00564A8B" w:rsidRPr="008016F6" w:rsidRDefault="00295E5E" w:rsidP="00BE5C9C">
            <w:pPr>
              <w:ind w:firstLine="22"/>
              <w:jc w:val="center"/>
            </w:pPr>
            <w:r w:rsidRPr="008016F6">
              <w:t xml:space="preserve">Số: </w:t>
            </w:r>
            <w:r w:rsidR="00350D98" w:rsidRPr="008016F6">
              <w:t xml:space="preserve">      </w:t>
            </w:r>
            <w:r w:rsidRPr="008016F6">
              <w:t>/</w:t>
            </w:r>
            <w:r w:rsidR="00350D98" w:rsidRPr="008016F6">
              <w:t>202</w:t>
            </w:r>
            <w:r w:rsidR="00DC5F05" w:rsidRPr="008016F6">
              <w:t>6</w:t>
            </w:r>
            <w:r w:rsidRPr="008016F6">
              <w:t>/NQ-HĐND</w:t>
            </w:r>
          </w:p>
          <w:p w14:paraId="2D70E4B7" w14:textId="77777777" w:rsidR="00D12101" w:rsidRPr="008016F6" w:rsidRDefault="00F152F6" w:rsidP="00071797">
            <w:pPr>
              <w:ind w:firstLine="22"/>
              <w:jc w:val="center"/>
              <w:rPr>
                <w:b/>
                <w:sz w:val="28"/>
                <w:szCs w:val="28"/>
              </w:rPr>
            </w:pPr>
            <w:r w:rsidRPr="008016F6">
              <w:rPr>
                <w:b/>
                <w:sz w:val="28"/>
                <w:szCs w:val="28"/>
              </w:rPr>
              <w:t>(DỰ THẢO)</w:t>
            </w:r>
          </w:p>
        </w:tc>
        <w:tc>
          <w:tcPr>
            <w:tcW w:w="6370" w:type="dxa"/>
            <w:tcMar>
              <w:top w:w="0" w:type="dxa"/>
              <w:left w:w="108" w:type="dxa"/>
              <w:bottom w:w="0" w:type="dxa"/>
              <w:right w:w="108" w:type="dxa"/>
            </w:tcMar>
          </w:tcPr>
          <w:p w14:paraId="5F03196B" w14:textId="67662BAE" w:rsidR="00295E5E" w:rsidRPr="008016F6" w:rsidRDefault="00DC5F05" w:rsidP="00123E5A">
            <w:pPr>
              <w:jc w:val="center"/>
            </w:pPr>
            <w:r w:rsidRPr="008016F6">
              <w:rPr>
                <w:i/>
                <w:iCs/>
              </w:rPr>
              <w:t>Đồng Nai</w:t>
            </w:r>
            <w:r w:rsidR="00295E5E" w:rsidRPr="008016F6">
              <w:rPr>
                <w:i/>
                <w:iCs/>
              </w:rPr>
              <w:t xml:space="preserve">, ngày </w:t>
            </w:r>
            <w:r w:rsidR="00350D98" w:rsidRPr="008016F6">
              <w:rPr>
                <w:i/>
                <w:iCs/>
              </w:rPr>
              <w:t xml:space="preserve">     tháng     </w:t>
            </w:r>
            <w:r w:rsidR="00D12101" w:rsidRPr="008016F6">
              <w:rPr>
                <w:i/>
                <w:iCs/>
              </w:rPr>
              <w:t xml:space="preserve"> </w:t>
            </w:r>
            <w:r w:rsidR="00295E5E" w:rsidRPr="008016F6">
              <w:rPr>
                <w:i/>
                <w:iCs/>
              </w:rPr>
              <w:t>năm 20</w:t>
            </w:r>
            <w:r w:rsidR="00350D98" w:rsidRPr="008016F6">
              <w:rPr>
                <w:i/>
                <w:iCs/>
              </w:rPr>
              <w:t>2</w:t>
            </w:r>
            <w:r w:rsidRPr="008016F6">
              <w:rPr>
                <w:i/>
                <w:iCs/>
              </w:rPr>
              <w:t>6</w:t>
            </w:r>
          </w:p>
        </w:tc>
      </w:tr>
    </w:tbl>
    <w:p w14:paraId="4B93CA91" w14:textId="77777777" w:rsidR="00560B66" w:rsidRPr="008016F6" w:rsidRDefault="00560B66" w:rsidP="00E13321">
      <w:pPr>
        <w:tabs>
          <w:tab w:val="left" w:pos="4320"/>
        </w:tabs>
        <w:jc w:val="center"/>
        <w:rPr>
          <w:b/>
          <w:sz w:val="28"/>
          <w:szCs w:val="28"/>
        </w:rPr>
      </w:pPr>
    </w:p>
    <w:p w14:paraId="7FCF0CC4" w14:textId="77777777" w:rsidR="007035FF" w:rsidRPr="008016F6" w:rsidRDefault="00D80AD7" w:rsidP="00E13321">
      <w:pPr>
        <w:tabs>
          <w:tab w:val="left" w:pos="4320"/>
        </w:tabs>
        <w:jc w:val="center"/>
        <w:rPr>
          <w:b/>
          <w:sz w:val="28"/>
          <w:szCs w:val="28"/>
        </w:rPr>
      </w:pPr>
      <w:r w:rsidRPr="008016F6">
        <w:rPr>
          <w:b/>
          <w:sz w:val="28"/>
          <w:szCs w:val="28"/>
        </w:rPr>
        <w:t>NGHỊ QUYẾT</w:t>
      </w:r>
    </w:p>
    <w:p w14:paraId="4529B137" w14:textId="423B50A5" w:rsidR="00E13321" w:rsidRPr="008016F6" w:rsidRDefault="00DF0514" w:rsidP="00773EDF">
      <w:pPr>
        <w:shd w:val="clear" w:color="auto" w:fill="FFFFFF"/>
        <w:jc w:val="center"/>
        <w:textAlignment w:val="baseline"/>
        <w:rPr>
          <w:i/>
          <w:sz w:val="28"/>
          <w:szCs w:val="28"/>
          <w:lang w:val="pt-BR"/>
        </w:rPr>
      </w:pPr>
      <w:r w:rsidRPr="008016F6">
        <w:rPr>
          <w:b/>
          <w:sz w:val="28"/>
          <w:szCs w:val="28"/>
        </w:rPr>
        <w:t>Quy định mức chi bảo đảm cho công tác phổ biến, giáo dục pháp luật</w:t>
      </w:r>
      <w:r w:rsidR="004721AC" w:rsidRPr="008016F6">
        <w:rPr>
          <w:b/>
          <w:sz w:val="28"/>
          <w:szCs w:val="28"/>
        </w:rPr>
        <w:t>;</w:t>
      </w:r>
      <w:r w:rsidRPr="008016F6">
        <w:rPr>
          <w:b/>
          <w:sz w:val="28"/>
          <w:szCs w:val="28"/>
        </w:rPr>
        <w:t xml:space="preserve"> chuẩn tiếp cận pháp luật và hòa giải ở cơ sở trên địa bàn tỉnh </w:t>
      </w:r>
      <w:r w:rsidR="00DC5F05" w:rsidRPr="008016F6">
        <w:rPr>
          <w:b/>
          <w:sz w:val="28"/>
          <w:szCs w:val="28"/>
        </w:rPr>
        <w:t>Đồng Nai</w:t>
      </w:r>
    </w:p>
    <w:p w14:paraId="6B80681D" w14:textId="77777777" w:rsidR="009911F2" w:rsidRPr="008016F6" w:rsidRDefault="009911F2" w:rsidP="001637BC">
      <w:pPr>
        <w:widowControl w:val="0"/>
        <w:spacing w:after="120"/>
        <w:ind w:firstLine="709"/>
        <w:jc w:val="both"/>
        <w:rPr>
          <w:i/>
          <w:iCs/>
          <w:sz w:val="28"/>
          <w:szCs w:val="28"/>
        </w:rPr>
      </w:pPr>
    </w:p>
    <w:p w14:paraId="38271845" w14:textId="77777777" w:rsidR="00350D98" w:rsidRPr="008016F6" w:rsidRDefault="00350D98" w:rsidP="001637BC">
      <w:pPr>
        <w:widowControl w:val="0"/>
        <w:spacing w:after="120"/>
        <w:ind w:firstLine="709"/>
        <w:jc w:val="both"/>
        <w:rPr>
          <w:i/>
          <w:iCs/>
          <w:sz w:val="28"/>
          <w:szCs w:val="28"/>
        </w:rPr>
      </w:pPr>
      <w:r w:rsidRPr="008016F6">
        <w:rPr>
          <w:i/>
          <w:iCs/>
          <w:sz w:val="28"/>
          <w:szCs w:val="28"/>
        </w:rPr>
        <w:t xml:space="preserve">Căn cứ Luật Tổ chức chính quyền địa phương số 72/2025/QH15; </w:t>
      </w:r>
    </w:p>
    <w:p w14:paraId="2404D3A0" w14:textId="77777777" w:rsidR="003F4BD8" w:rsidRPr="008016F6" w:rsidRDefault="003F4BD8" w:rsidP="001637BC">
      <w:pPr>
        <w:widowControl w:val="0"/>
        <w:spacing w:after="120"/>
        <w:ind w:firstLine="709"/>
        <w:jc w:val="both"/>
        <w:rPr>
          <w:i/>
          <w:iCs/>
          <w:sz w:val="28"/>
          <w:szCs w:val="28"/>
        </w:rPr>
      </w:pPr>
      <w:r w:rsidRPr="008016F6">
        <w:rPr>
          <w:i/>
          <w:iCs/>
          <w:sz w:val="28"/>
          <w:szCs w:val="28"/>
        </w:rPr>
        <w:t>Căn cứ Luật Phổ biến, giáo dục pháp luật số 14/2012/QH13;</w:t>
      </w:r>
    </w:p>
    <w:p w14:paraId="7FC52488" w14:textId="49177589" w:rsidR="003F4BD8" w:rsidRPr="008016F6" w:rsidRDefault="003F4BD8" w:rsidP="001637BC">
      <w:pPr>
        <w:widowControl w:val="0"/>
        <w:spacing w:after="120"/>
        <w:ind w:firstLine="709"/>
        <w:jc w:val="both"/>
        <w:rPr>
          <w:i/>
          <w:iCs/>
          <w:sz w:val="28"/>
          <w:szCs w:val="28"/>
        </w:rPr>
      </w:pPr>
      <w:r w:rsidRPr="008016F6">
        <w:rPr>
          <w:i/>
          <w:iCs/>
          <w:sz w:val="28"/>
          <w:szCs w:val="28"/>
        </w:rPr>
        <w:t xml:space="preserve"> Căn cứ Luật Hòa giải ở cơ sở số 35/2013/QH13; </w:t>
      </w:r>
    </w:p>
    <w:p w14:paraId="4EDAF318" w14:textId="6C22DD05" w:rsidR="00997DE3" w:rsidRPr="008016F6" w:rsidRDefault="002D78F1" w:rsidP="001637BC">
      <w:pPr>
        <w:widowControl w:val="0"/>
        <w:spacing w:after="120"/>
        <w:ind w:firstLine="709"/>
        <w:jc w:val="both"/>
        <w:rPr>
          <w:sz w:val="28"/>
          <w:szCs w:val="28"/>
        </w:rPr>
      </w:pPr>
      <w:r w:rsidRPr="008016F6">
        <w:rPr>
          <w:i/>
          <w:iCs/>
          <w:sz w:val="28"/>
          <w:szCs w:val="28"/>
        </w:rPr>
        <w:t xml:space="preserve">Căn cứ Luật </w:t>
      </w:r>
      <w:r w:rsidR="00AC20E3">
        <w:rPr>
          <w:i/>
          <w:iCs/>
          <w:sz w:val="28"/>
          <w:szCs w:val="28"/>
        </w:rPr>
        <w:t>B</w:t>
      </w:r>
      <w:r w:rsidR="00997DE3" w:rsidRPr="008016F6">
        <w:rPr>
          <w:i/>
          <w:iCs/>
          <w:sz w:val="28"/>
          <w:szCs w:val="28"/>
        </w:rPr>
        <w:t>a</w:t>
      </w:r>
      <w:r w:rsidRPr="008016F6">
        <w:rPr>
          <w:i/>
          <w:iCs/>
          <w:sz w:val="28"/>
          <w:szCs w:val="28"/>
        </w:rPr>
        <w:t>n hành văn bản quy phạm pháp luật số 64/2025/QH15</w:t>
      </w:r>
      <w:r w:rsidR="00DC5F05" w:rsidRPr="008016F6">
        <w:rPr>
          <w:i/>
          <w:iCs/>
          <w:sz w:val="28"/>
          <w:szCs w:val="28"/>
        </w:rPr>
        <w:t xml:space="preserve"> được sửa đổi, bổ sung bởi Luật số 87/2025/QH15</w:t>
      </w:r>
      <w:r w:rsidRPr="008016F6">
        <w:rPr>
          <w:i/>
          <w:iCs/>
          <w:sz w:val="28"/>
          <w:szCs w:val="28"/>
        </w:rPr>
        <w:t>;</w:t>
      </w:r>
    </w:p>
    <w:p w14:paraId="734E07C9" w14:textId="766A22D9" w:rsidR="006F4BA9" w:rsidRPr="008016F6" w:rsidRDefault="006F4BA9" w:rsidP="001637BC">
      <w:pPr>
        <w:widowControl w:val="0"/>
        <w:spacing w:after="120"/>
        <w:ind w:firstLine="709"/>
        <w:jc w:val="both"/>
        <w:rPr>
          <w:i/>
          <w:iCs/>
          <w:sz w:val="28"/>
          <w:szCs w:val="28"/>
        </w:rPr>
      </w:pPr>
      <w:r w:rsidRPr="008016F6">
        <w:rPr>
          <w:i/>
          <w:iCs/>
          <w:sz w:val="28"/>
          <w:szCs w:val="28"/>
        </w:rPr>
        <w:t xml:space="preserve">Căn cứ Luật Ngân sách </w:t>
      </w:r>
      <w:r w:rsidR="00250C51" w:rsidRPr="008016F6">
        <w:rPr>
          <w:i/>
          <w:iCs/>
          <w:sz w:val="28"/>
          <w:szCs w:val="28"/>
        </w:rPr>
        <w:t>Nhà nước số 89/2025/QH15;</w:t>
      </w:r>
    </w:p>
    <w:p w14:paraId="02140094" w14:textId="24D54BB3" w:rsidR="0012064C" w:rsidRPr="008016F6" w:rsidRDefault="0012064C" w:rsidP="001637BC">
      <w:pPr>
        <w:widowControl w:val="0"/>
        <w:spacing w:after="120"/>
        <w:ind w:firstLine="709"/>
        <w:jc w:val="both"/>
        <w:rPr>
          <w:i/>
          <w:iCs/>
          <w:sz w:val="28"/>
          <w:szCs w:val="28"/>
        </w:rPr>
      </w:pPr>
      <w:r w:rsidRPr="008016F6">
        <w:rPr>
          <w:i/>
          <w:iCs/>
          <w:sz w:val="28"/>
          <w:szCs w:val="28"/>
        </w:rPr>
        <w:t xml:space="preserve">Căn cứ Nghị định số 28/2013/NĐ-CP của Chính phủ Quy định chi tiết một số điều và biện pháp thi hành Luật Phổ biến, giáo dục pháp luật; </w:t>
      </w:r>
    </w:p>
    <w:p w14:paraId="0A0CB701" w14:textId="25C5DD8F" w:rsidR="0012064C" w:rsidRPr="008016F6" w:rsidRDefault="0012064C" w:rsidP="001637BC">
      <w:pPr>
        <w:widowControl w:val="0"/>
        <w:spacing w:after="120"/>
        <w:ind w:firstLine="709"/>
        <w:jc w:val="both"/>
        <w:rPr>
          <w:i/>
          <w:iCs/>
          <w:sz w:val="28"/>
          <w:szCs w:val="28"/>
        </w:rPr>
      </w:pPr>
      <w:r w:rsidRPr="008016F6">
        <w:rPr>
          <w:i/>
          <w:iCs/>
          <w:sz w:val="28"/>
          <w:szCs w:val="28"/>
        </w:rPr>
        <w:t>Căn cứ Nghị định số 15/2014/NĐ-CP của Chính phủ Quy định chi tiết một số điều và biện pháp thi hành Luật Hòa giải ở cơ sở;</w:t>
      </w:r>
    </w:p>
    <w:p w14:paraId="0D5A7036" w14:textId="77777777" w:rsidR="0012064C" w:rsidRPr="008016F6" w:rsidRDefault="0012064C" w:rsidP="001637BC">
      <w:pPr>
        <w:widowControl w:val="0"/>
        <w:spacing w:after="120"/>
        <w:ind w:firstLine="709"/>
        <w:jc w:val="both"/>
        <w:rPr>
          <w:i/>
          <w:iCs/>
          <w:sz w:val="28"/>
          <w:szCs w:val="28"/>
        </w:rPr>
      </w:pPr>
      <w:r w:rsidRPr="008016F6">
        <w:rPr>
          <w:i/>
          <w:iCs/>
          <w:sz w:val="28"/>
          <w:szCs w:val="28"/>
        </w:rPr>
        <w:t xml:space="preserve"> Căn cứ Quyết định số 26/2025/QĐ-TTg của Thủ tướng Chính phủ quy định về thành phần và nhiệm vụ, quyền hạn của Hội đồng phối hợp phổ biến, giáo dục pháp luật; </w:t>
      </w:r>
    </w:p>
    <w:p w14:paraId="61B1ED87" w14:textId="01F237DA" w:rsidR="009E2A17" w:rsidRPr="008016F6" w:rsidRDefault="009E2A17" w:rsidP="001637BC">
      <w:pPr>
        <w:widowControl w:val="0"/>
        <w:spacing w:after="120"/>
        <w:ind w:firstLine="709"/>
        <w:jc w:val="both"/>
        <w:rPr>
          <w:i/>
          <w:iCs/>
          <w:sz w:val="28"/>
          <w:szCs w:val="28"/>
        </w:rPr>
      </w:pPr>
      <w:r w:rsidRPr="008016F6">
        <w:rPr>
          <w:i/>
          <w:iCs/>
          <w:sz w:val="28"/>
          <w:szCs w:val="28"/>
        </w:rPr>
        <w:t xml:space="preserve">Căn cứ Quyết định số 39/2025/QĐ-TTg của Thủ tướng Chính phủ quy định về xây dựng, quản lý, khai thác Tủ sách pháp luật điện tử quốc gia, Tủ sách pháp luật tại cơ quan, đơn vị của lực lượng vũ trang nhân dân; </w:t>
      </w:r>
    </w:p>
    <w:p w14:paraId="4028F429" w14:textId="39508959" w:rsidR="009911F2" w:rsidRPr="008016F6" w:rsidRDefault="009911F2" w:rsidP="001637BC">
      <w:pPr>
        <w:widowControl w:val="0"/>
        <w:spacing w:after="120"/>
        <w:ind w:firstLine="709"/>
        <w:jc w:val="both"/>
        <w:rPr>
          <w:i/>
          <w:iCs/>
          <w:sz w:val="28"/>
          <w:szCs w:val="28"/>
        </w:rPr>
      </w:pPr>
      <w:r w:rsidRPr="008016F6">
        <w:rPr>
          <w:i/>
          <w:iCs/>
          <w:sz w:val="28"/>
          <w:szCs w:val="28"/>
        </w:rPr>
        <w:t xml:space="preserve">Căn cứ Thông tư số 56/2023/TT-BTC của Bộ trưởng Bộ Tài chính </w:t>
      </w:r>
      <w:r w:rsidR="008341A2" w:rsidRPr="008016F6">
        <w:rPr>
          <w:i/>
          <w:iCs/>
          <w:sz w:val="28"/>
          <w:szCs w:val="28"/>
        </w:rPr>
        <w:t>quy định việc lập dự toán, quản lý, sử dụng và quyết toán kinh phí bảo đảm cho công tác phổ biến, giáo dục pháp luật, chuẩn tiếp cận pháp luật và hòa giải ở cơ sở;</w:t>
      </w:r>
    </w:p>
    <w:p w14:paraId="5686E540" w14:textId="40968C65" w:rsidR="00892B10" w:rsidRPr="008016F6" w:rsidRDefault="00892B10" w:rsidP="00892B10">
      <w:pPr>
        <w:spacing w:before="120" w:after="120"/>
        <w:ind w:firstLine="720"/>
        <w:jc w:val="both"/>
        <w:rPr>
          <w:i/>
          <w:iCs/>
          <w:sz w:val="28"/>
          <w:szCs w:val="28"/>
        </w:rPr>
      </w:pPr>
      <w:r w:rsidRPr="008016F6">
        <w:rPr>
          <w:i/>
          <w:iCs/>
          <w:sz w:val="28"/>
          <w:szCs w:val="28"/>
        </w:rPr>
        <w:t xml:space="preserve">Xét Tờ trình số …/TTr-UBND ngày … tháng … năm 2026 của Ủy ban nhân dân tỉnh dự thảo Nghị quyết của Hội đồng nhân dân tỉnh quy định mức chi bảo đảm cho công tác phổ biến, giáo dục pháp luật, chuẩn tiếp cận pháp luật và hòa giải ở cơ sở trên địa bàn tỉnh </w:t>
      </w:r>
      <w:r w:rsidR="009927F0" w:rsidRPr="008016F6">
        <w:rPr>
          <w:i/>
          <w:iCs/>
          <w:sz w:val="28"/>
          <w:szCs w:val="28"/>
        </w:rPr>
        <w:t>Đồng Nai</w:t>
      </w:r>
      <w:r w:rsidRPr="008016F6">
        <w:rPr>
          <w:i/>
          <w:iCs/>
          <w:sz w:val="28"/>
          <w:szCs w:val="28"/>
        </w:rPr>
        <w:t>; Báo cáo thẩm tra số …/BC-BPC ngày … tháng … năm 2026 của Ban Pháp chế Hội đồng nhân dân tỉnh; ý kiến thảo luận của đại biểu Hội đồng nhân dân tỉnh tại kỳ họp.</w:t>
      </w:r>
    </w:p>
    <w:p w14:paraId="6B343649" w14:textId="340323CB" w:rsidR="00350D98" w:rsidRPr="008016F6" w:rsidRDefault="00350D98" w:rsidP="00DF0514">
      <w:pPr>
        <w:widowControl w:val="0"/>
        <w:spacing w:after="120"/>
        <w:ind w:firstLine="709"/>
        <w:jc w:val="both"/>
        <w:rPr>
          <w:i/>
          <w:iCs/>
          <w:sz w:val="28"/>
          <w:szCs w:val="28"/>
        </w:rPr>
      </w:pPr>
      <w:r w:rsidRPr="008016F6">
        <w:rPr>
          <w:i/>
          <w:iCs/>
          <w:sz w:val="28"/>
          <w:szCs w:val="28"/>
        </w:rPr>
        <w:t xml:space="preserve">Hội đồng nhân dân ban hành Nghị quyết </w:t>
      </w:r>
      <w:r w:rsidR="00245636" w:rsidRPr="008016F6">
        <w:rPr>
          <w:i/>
          <w:sz w:val="28"/>
          <w:szCs w:val="28"/>
          <w:lang w:val="pt-BR"/>
        </w:rPr>
        <w:t>q</w:t>
      </w:r>
      <w:r w:rsidR="00DF0514" w:rsidRPr="008016F6">
        <w:rPr>
          <w:i/>
          <w:sz w:val="28"/>
          <w:szCs w:val="28"/>
          <w:lang w:val="pt-BR"/>
        </w:rPr>
        <w:t xml:space="preserve">uy định mức chi bảo đảm cho công tác phổ biến, giáo dục pháp luật, chuẩn tiếp cận pháp luật và hòa giải ở cơ sở trên địa bàn tỉnh </w:t>
      </w:r>
      <w:r w:rsidR="006F4BA9" w:rsidRPr="008016F6">
        <w:rPr>
          <w:i/>
          <w:sz w:val="28"/>
          <w:szCs w:val="28"/>
          <w:lang w:val="pt-BR"/>
        </w:rPr>
        <w:t>Đồng Nai</w:t>
      </w:r>
      <w:r w:rsidRPr="008016F6">
        <w:rPr>
          <w:i/>
          <w:iCs/>
          <w:sz w:val="28"/>
          <w:szCs w:val="28"/>
        </w:rPr>
        <w:t>.</w:t>
      </w:r>
    </w:p>
    <w:p w14:paraId="4D137F23" w14:textId="7D0FD4D8" w:rsidR="004F3DCD" w:rsidRPr="008016F6" w:rsidRDefault="00F0649F" w:rsidP="004F3DCD">
      <w:pPr>
        <w:spacing w:after="120"/>
        <w:ind w:firstLine="720"/>
        <w:jc w:val="both"/>
        <w:rPr>
          <w:sz w:val="28"/>
          <w:szCs w:val="28"/>
        </w:rPr>
      </w:pPr>
      <w:r w:rsidRPr="008016F6">
        <w:rPr>
          <w:b/>
          <w:sz w:val="28"/>
          <w:szCs w:val="28"/>
          <w:lang w:val="pt-BR"/>
        </w:rPr>
        <w:lastRenderedPageBreak/>
        <w:t>Điều 1</w:t>
      </w:r>
      <w:r w:rsidRPr="008016F6">
        <w:rPr>
          <w:sz w:val="28"/>
          <w:szCs w:val="28"/>
          <w:lang w:val="pt-BR"/>
        </w:rPr>
        <w:t>.</w:t>
      </w:r>
      <w:bookmarkStart w:id="0" w:name="dieu_1"/>
      <w:r w:rsidR="004F3DCD" w:rsidRPr="008016F6">
        <w:rPr>
          <w:sz w:val="28"/>
          <w:szCs w:val="28"/>
          <w:lang w:val="pt-BR"/>
        </w:rPr>
        <w:t xml:space="preserve"> </w:t>
      </w:r>
      <w:r w:rsidR="00C418E8">
        <w:rPr>
          <w:sz w:val="28"/>
          <w:szCs w:val="28"/>
        </w:rPr>
        <w:t>Q</w:t>
      </w:r>
      <w:r w:rsidR="00AC40E4" w:rsidRPr="008016F6">
        <w:rPr>
          <w:sz w:val="28"/>
          <w:szCs w:val="28"/>
        </w:rPr>
        <w:t>uy định mức chi bảo đảm cho công tác phổ biến, giáo dục pháp luật</w:t>
      </w:r>
      <w:r w:rsidR="00C4486C">
        <w:rPr>
          <w:sz w:val="28"/>
          <w:szCs w:val="28"/>
        </w:rPr>
        <w:t xml:space="preserve">; </w:t>
      </w:r>
      <w:r w:rsidR="00AC40E4" w:rsidRPr="008016F6">
        <w:rPr>
          <w:sz w:val="28"/>
          <w:szCs w:val="28"/>
        </w:rPr>
        <w:t>chuẩn tiếp cận pháp luật và hòa giải ở cơ sở trên địa bàn tỉnh Đồng Nai</w:t>
      </w:r>
      <w:r w:rsidR="00943A18" w:rsidRPr="008016F6">
        <w:rPr>
          <w:sz w:val="28"/>
          <w:szCs w:val="28"/>
        </w:rPr>
        <w:t>, cụ thể như sau:</w:t>
      </w:r>
    </w:p>
    <w:p w14:paraId="00013BDC" w14:textId="139528A5" w:rsidR="004F3DCD" w:rsidRPr="008016F6" w:rsidRDefault="004F3DCD" w:rsidP="004F3DCD">
      <w:pPr>
        <w:spacing w:after="120"/>
        <w:ind w:firstLine="720"/>
        <w:jc w:val="both"/>
        <w:rPr>
          <w:bCs/>
          <w:sz w:val="28"/>
          <w:szCs w:val="28"/>
        </w:rPr>
      </w:pPr>
      <w:r w:rsidRPr="008016F6">
        <w:rPr>
          <w:bCs/>
          <w:sz w:val="28"/>
          <w:szCs w:val="28"/>
        </w:rPr>
        <w:t xml:space="preserve">1. Phạm vi điều </w:t>
      </w:r>
      <w:r w:rsidR="00266171" w:rsidRPr="008016F6">
        <w:rPr>
          <w:bCs/>
          <w:sz w:val="28"/>
          <w:szCs w:val="28"/>
        </w:rPr>
        <w:t>chỉnh</w:t>
      </w:r>
    </w:p>
    <w:p w14:paraId="16B37346" w14:textId="77777777" w:rsidR="00E8196F" w:rsidRPr="008016F6" w:rsidRDefault="00E8196F" w:rsidP="004F3DCD">
      <w:pPr>
        <w:spacing w:after="120"/>
        <w:ind w:firstLine="720"/>
        <w:jc w:val="both"/>
        <w:rPr>
          <w:bCs/>
          <w:sz w:val="28"/>
          <w:szCs w:val="28"/>
        </w:rPr>
      </w:pPr>
      <w:r w:rsidRPr="008016F6">
        <w:rPr>
          <w:bCs/>
          <w:sz w:val="28"/>
          <w:szCs w:val="28"/>
        </w:rPr>
        <w:t>Nghị quyết này quy định mức chi thực hiện công tác phổ biến, giáo dục pháp luật; chuẩn tiếp cận pháp luật và hòa giải ở cơ sở trên địa bàn tỉnh Đồng Nai.</w:t>
      </w:r>
    </w:p>
    <w:p w14:paraId="2E975D10" w14:textId="77777777" w:rsidR="005E1EF8" w:rsidRDefault="005E1EF8" w:rsidP="005E1EF8">
      <w:pPr>
        <w:spacing w:after="120"/>
        <w:ind w:firstLine="720"/>
        <w:jc w:val="both"/>
        <w:rPr>
          <w:bCs/>
          <w:sz w:val="28"/>
          <w:szCs w:val="28"/>
        </w:rPr>
      </w:pPr>
      <w:r w:rsidRPr="008016F6">
        <w:rPr>
          <w:bCs/>
          <w:sz w:val="28"/>
          <w:szCs w:val="28"/>
        </w:rPr>
        <w:t>Đối với các nội dung chi khác liên quan đến việc lập dự toán, quản lý, sử dụng và quyết toán kinh phí thực hiện công tác phổ biến, giáo dục pháp luật, chuẩn tiếp cận pháp luật và hòa giải ở cơ sở không quy định tại Nghị quyết này thì thực hiện theo Thông tư số </w:t>
      </w:r>
      <w:hyperlink r:id="rId7" w:tgtFrame="_blank" w:tooltip="Thông tư 56/2023/TT-BTC" w:history="1">
        <w:r w:rsidRPr="008016F6">
          <w:rPr>
            <w:bCs/>
          </w:rPr>
          <w:t>56/2023/TT-BTC</w:t>
        </w:r>
      </w:hyperlink>
      <w:r>
        <w:rPr>
          <w:bCs/>
          <w:sz w:val="28"/>
          <w:szCs w:val="28"/>
        </w:rPr>
        <w:t xml:space="preserve"> </w:t>
      </w:r>
      <w:r w:rsidRPr="008016F6">
        <w:rPr>
          <w:bCs/>
          <w:sz w:val="28"/>
          <w:szCs w:val="28"/>
        </w:rPr>
        <w:t>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14:paraId="17F5A40D" w14:textId="2F48CB7E" w:rsidR="004F3DCD" w:rsidRPr="008016F6" w:rsidRDefault="004F3DCD" w:rsidP="004F3DCD">
      <w:pPr>
        <w:spacing w:after="120"/>
        <w:ind w:firstLine="720"/>
        <w:jc w:val="both"/>
        <w:rPr>
          <w:bCs/>
          <w:sz w:val="28"/>
          <w:szCs w:val="28"/>
        </w:rPr>
      </w:pPr>
      <w:r w:rsidRPr="008016F6">
        <w:rPr>
          <w:bCs/>
          <w:sz w:val="28"/>
          <w:szCs w:val="28"/>
        </w:rPr>
        <w:t>2. Đối tượng áp dụng</w:t>
      </w:r>
    </w:p>
    <w:p w14:paraId="5C9D142A" w14:textId="77777777" w:rsidR="00735568" w:rsidRDefault="00735568" w:rsidP="004F3DCD">
      <w:pPr>
        <w:spacing w:after="120"/>
        <w:ind w:firstLine="720"/>
        <w:jc w:val="both"/>
        <w:rPr>
          <w:bCs/>
          <w:sz w:val="28"/>
          <w:szCs w:val="28"/>
        </w:rPr>
      </w:pPr>
      <w:r w:rsidRPr="008016F6">
        <w:rPr>
          <w:bCs/>
          <w:sz w:val="28"/>
          <w:szCs w:val="28"/>
        </w:rPr>
        <w:t>Nghị quyết này áp dụng đối với các cơ quan, đơn vị, tổ chức, cá nhân được giao nhiệm vụ có liên quan đến công tác phổ biến, giáo dục pháp luật; chuẩn tiếp cận pháp luật và hòa giải ở cơ sở trên địa bàn tỉnh Đồng Nai.</w:t>
      </w:r>
    </w:p>
    <w:p w14:paraId="227E67F8" w14:textId="2AE9429F" w:rsidR="003A733B" w:rsidRPr="008016F6" w:rsidRDefault="003A733B" w:rsidP="003A733B">
      <w:pPr>
        <w:spacing w:after="120"/>
        <w:ind w:firstLine="720"/>
        <w:jc w:val="both"/>
        <w:rPr>
          <w:b/>
          <w:sz w:val="28"/>
          <w:szCs w:val="28"/>
        </w:rPr>
      </w:pPr>
      <w:bookmarkStart w:id="1" w:name="dieu_3"/>
      <w:r w:rsidRPr="008016F6">
        <w:rPr>
          <w:b/>
          <w:bCs/>
          <w:sz w:val="28"/>
          <w:szCs w:val="28"/>
        </w:rPr>
        <w:t xml:space="preserve">Điều </w:t>
      </w:r>
      <w:r w:rsidR="0058522D">
        <w:rPr>
          <w:b/>
          <w:bCs/>
          <w:sz w:val="28"/>
          <w:szCs w:val="28"/>
        </w:rPr>
        <w:t>2</w:t>
      </w:r>
      <w:r w:rsidRPr="008016F6">
        <w:rPr>
          <w:b/>
          <w:bCs/>
          <w:sz w:val="28"/>
          <w:szCs w:val="28"/>
        </w:rPr>
        <w:t>. Mức chi cho công tác phổ biến, giáo dục pháp luật; chuẩn tiếp cận pháp luật và hòa giải ở cơ sở</w:t>
      </w:r>
      <w:bookmarkEnd w:id="1"/>
    </w:p>
    <w:p w14:paraId="66674DF6" w14:textId="5E46C9C4" w:rsidR="003A733B" w:rsidRPr="008016F6" w:rsidRDefault="003A733B" w:rsidP="003A733B">
      <w:pPr>
        <w:spacing w:after="120"/>
        <w:ind w:firstLine="720"/>
        <w:jc w:val="both"/>
        <w:rPr>
          <w:bCs/>
          <w:sz w:val="28"/>
          <w:szCs w:val="28"/>
        </w:rPr>
      </w:pPr>
      <w:r w:rsidRPr="008016F6">
        <w:rPr>
          <w:bCs/>
          <w:sz w:val="28"/>
          <w:szCs w:val="28"/>
        </w:rPr>
        <w:t>Mức chi cho các nội dung trong công tác phổ biến, giáo dục pháp luật; chuẩn tiếp cận pháp luật và hòa giải ở cơ sở</w:t>
      </w:r>
      <w:r w:rsidR="00C47BE6">
        <w:rPr>
          <w:bCs/>
          <w:sz w:val="28"/>
          <w:szCs w:val="28"/>
        </w:rPr>
        <w:t xml:space="preserve"> </w:t>
      </w:r>
      <w:r w:rsidR="00C81397">
        <w:rPr>
          <w:bCs/>
          <w:sz w:val="28"/>
          <w:szCs w:val="28"/>
        </w:rPr>
        <w:t>thực hiện</w:t>
      </w:r>
      <w:r w:rsidRPr="008016F6">
        <w:rPr>
          <w:bCs/>
          <w:sz w:val="28"/>
          <w:szCs w:val="28"/>
        </w:rPr>
        <w:t xml:space="preserve"> theo Phụ lục ban hành kèm theo Nghị quyết này.</w:t>
      </w:r>
    </w:p>
    <w:p w14:paraId="455A354F" w14:textId="0569D3E7" w:rsidR="00B70BC7" w:rsidRPr="00B70BC7" w:rsidRDefault="0058522D" w:rsidP="00B70BC7">
      <w:pPr>
        <w:spacing w:after="120"/>
        <w:ind w:firstLine="720"/>
        <w:jc w:val="both"/>
        <w:rPr>
          <w:bCs/>
          <w:sz w:val="28"/>
          <w:szCs w:val="28"/>
          <w:lang w:val="vi-VN"/>
        </w:rPr>
      </w:pPr>
      <w:r w:rsidRPr="00B70BC7">
        <w:rPr>
          <w:b/>
          <w:sz w:val="28"/>
          <w:szCs w:val="28"/>
        </w:rPr>
        <w:t>Điều 3.</w:t>
      </w:r>
      <w:r>
        <w:rPr>
          <w:bCs/>
          <w:sz w:val="28"/>
          <w:szCs w:val="28"/>
        </w:rPr>
        <w:t xml:space="preserve"> </w:t>
      </w:r>
      <w:bookmarkStart w:id="2" w:name="dieu_2"/>
      <w:r w:rsidR="00B70BC7" w:rsidRPr="00B70BC7">
        <w:rPr>
          <w:b/>
          <w:bCs/>
          <w:sz w:val="28"/>
          <w:szCs w:val="28"/>
          <w:lang w:val="vi-VN"/>
        </w:rPr>
        <w:t>Nguồn kinh phí thực hiện</w:t>
      </w:r>
      <w:bookmarkEnd w:id="2"/>
    </w:p>
    <w:p w14:paraId="30BBF85C" w14:textId="77777777" w:rsidR="00B70BC7" w:rsidRPr="00B70BC7" w:rsidRDefault="00B70BC7" w:rsidP="00B70BC7">
      <w:pPr>
        <w:spacing w:after="120"/>
        <w:ind w:firstLine="720"/>
        <w:jc w:val="both"/>
        <w:rPr>
          <w:bCs/>
          <w:sz w:val="28"/>
          <w:szCs w:val="28"/>
        </w:rPr>
      </w:pPr>
      <w:r w:rsidRPr="00B70BC7">
        <w:rPr>
          <w:bCs/>
          <w:sz w:val="28"/>
          <w:szCs w:val="28"/>
        </w:rPr>
        <w:t>Ngân sách nhà nước bảo đảm cho công tác phổ biến, giáo dục pháp luật; chuẩn tiếp cận pháp luật và hòa giải ở cơ sở trên địa bàn tỉnh được phân bổ trong dự toán chi hằng năm theo phân cấp ngân sách nhà nước.</w:t>
      </w:r>
    </w:p>
    <w:p w14:paraId="36E53903" w14:textId="7443BF90" w:rsidR="00240DC2" w:rsidRPr="008016F6" w:rsidRDefault="004F3DCD" w:rsidP="00F0649F">
      <w:pPr>
        <w:spacing w:after="120"/>
        <w:ind w:firstLine="720"/>
        <w:jc w:val="both"/>
        <w:rPr>
          <w:b/>
          <w:sz w:val="28"/>
          <w:szCs w:val="28"/>
        </w:rPr>
      </w:pPr>
      <w:r w:rsidRPr="008016F6">
        <w:rPr>
          <w:b/>
          <w:sz w:val="28"/>
          <w:szCs w:val="28"/>
        </w:rPr>
        <w:t xml:space="preserve">Điều </w:t>
      </w:r>
      <w:r w:rsidR="00B70BC7">
        <w:rPr>
          <w:b/>
          <w:sz w:val="28"/>
          <w:szCs w:val="28"/>
        </w:rPr>
        <w:t>4</w:t>
      </w:r>
      <w:r w:rsidR="00E37002" w:rsidRPr="008016F6">
        <w:rPr>
          <w:b/>
          <w:sz w:val="28"/>
          <w:szCs w:val="28"/>
        </w:rPr>
        <w:t>.</w:t>
      </w:r>
      <w:r w:rsidRPr="008016F6">
        <w:rPr>
          <w:b/>
          <w:sz w:val="28"/>
          <w:szCs w:val="28"/>
        </w:rPr>
        <w:t xml:space="preserve"> </w:t>
      </w:r>
      <w:r w:rsidR="00240DC2" w:rsidRPr="008016F6">
        <w:rPr>
          <w:b/>
          <w:sz w:val="28"/>
          <w:szCs w:val="28"/>
        </w:rPr>
        <w:t>Hiệu lực thi hành</w:t>
      </w:r>
    </w:p>
    <w:p w14:paraId="526DC7AF" w14:textId="13F2C487" w:rsidR="008532EF" w:rsidRPr="00F2150C" w:rsidRDefault="00240DC2" w:rsidP="00240DC2">
      <w:pPr>
        <w:pStyle w:val="Bodytext30"/>
        <w:spacing w:before="120" w:after="120" w:line="240" w:lineRule="auto"/>
        <w:ind w:firstLine="720"/>
        <w:jc w:val="both"/>
        <w:rPr>
          <w:b w:val="0"/>
          <w:spacing w:val="-4"/>
          <w:sz w:val="28"/>
          <w:szCs w:val="28"/>
        </w:rPr>
      </w:pPr>
      <w:r w:rsidRPr="00F2150C">
        <w:rPr>
          <w:b w:val="0"/>
          <w:spacing w:val="-4"/>
          <w:sz w:val="28"/>
          <w:szCs w:val="28"/>
        </w:rPr>
        <w:t>1. Nghị quyết này có hiệu lực thi hành từ ngày</w:t>
      </w:r>
      <w:r w:rsidR="00CB3352" w:rsidRPr="00F2150C">
        <w:rPr>
          <w:b w:val="0"/>
          <w:spacing w:val="-4"/>
          <w:sz w:val="28"/>
          <w:szCs w:val="28"/>
        </w:rPr>
        <w:t xml:space="preserve"> </w:t>
      </w:r>
      <w:r w:rsidR="008532EF" w:rsidRPr="00F2150C">
        <w:rPr>
          <w:b w:val="0"/>
          <w:spacing w:val="-4"/>
          <w:sz w:val="28"/>
          <w:szCs w:val="28"/>
        </w:rPr>
        <w:t>…</w:t>
      </w:r>
      <w:r w:rsidR="00CB3352" w:rsidRPr="00F2150C">
        <w:rPr>
          <w:b w:val="0"/>
          <w:spacing w:val="-4"/>
          <w:sz w:val="28"/>
          <w:szCs w:val="28"/>
        </w:rPr>
        <w:t xml:space="preserve"> </w:t>
      </w:r>
      <w:r w:rsidRPr="00F2150C">
        <w:rPr>
          <w:b w:val="0"/>
          <w:spacing w:val="-4"/>
          <w:sz w:val="28"/>
          <w:szCs w:val="28"/>
        </w:rPr>
        <w:t>tháng</w:t>
      </w:r>
      <w:r w:rsidR="008532EF" w:rsidRPr="00F2150C">
        <w:rPr>
          <w:b w:val="0"/>
          <w:spacing w:val="-4"/>
          <w:sz w:val="28"/>
          <w:szCs w:val="28"/>
        </w:rPr>
        <w:t>…</w:t>
      </w:r>
      <w:r w:rsidR="00CB3352" w:rsidRPr="00F2150C">
        <w:rPr>
          <w:b w:val="0"/>
          <w:spacing w:val="-4"/>
          <w:sz w:val="28"/>
          <w:szCs w:val="28"/>
        </w:rPr>
        <w:t xml:space="preserve"> </w:t>
      </w:r>
      <w:r w:rsidRPr="00F2150C">
        <w:rPr>
          <w:b w:val="0"/>
          <w:spacing w:val="-4"/>
          <w:sz w:val="28"/>
          <w:szCs w:val="28"/>
        </w:rPr>
        <w:t xml:space="preserve">năm </w:t>
      </w:r>
      <w:r w:rsidR="003F1CA3" w:rsidRPr="00F2150C">
        <w:rPr>
          <w:b w:val="0"/>
          <w:spacing w:val="-4"/>
          <w:sz w:val="28"/>
          <w:szCs w:val="28"/>
        </w:rPr>
        <w:t>202</w:t>
      </w:r>
      <w:r w:rsidR="00CB3352" w:rsidRPr="00F2150C">
        <w:rPr>
          <w:b w:val="0"/>
          <w:spacing w:val="-4"/>
          <w:sz w:val="28"/>
          <w:szCs w:val="28"/>
        </w:rPr>
        <w:t>6</w:t>
      </w:r>
      <w:r w:rsidR="00F2150C" w:rsidRPr="00F2150C">
        <w:rPr>
          <w:b w:val="0"/>
          <w:spacing w:val="-4"/>
          <w:sz w:val="28"/>
          <w:szCs w:val="28"/>
        </w:rPr>
        <w:t xml:space="preserve"> và </w:t>
      </w:r>
      <w:r w:rsidR="008532EF" w:rsidRPr="00F2150C">
        <w:rPr>
          <w:b w:val="0"/>
          <w:spacing w:val="-4"/>
          <w:sz w:val="28"/>
          <w:szCs w:val="28"/>
        </w:rPr>
        <w:t>thay thế</w:t>
      </w:r>
      <w:r w:rsidR="004458DC" w:rsidRPr="00F2150C">
        <w:rPr>
          <w:b w:val="0"/>
          <w:spacing w:val="-4"/>
          <w:sz w:val="28"/>
          <w:szCs w:val="28"/>
        </w:rPr>
        <w:t xml:space="preserve"> </w:t>
      </w:r>
      <w:r w:rsidR="009E6B41" w:rsidRPr="00F2150C">
        <w:rPr>
          <w:b w:val="0"/>
          <w:spacing w:val="-4"/>
          <w:sz w:val="28"/>
          <w:szCs w:val="28"/>
        </w:rPr>
        <w:t>Nghị quyết số 34/2023</w:t>
      </w:r>
      <w:r w:rsidR="007329F9" w:rsidRPr="00F2150C">
        <w:rPr>
          <w:b w:val="0"/>
          <w:spacing w:val="-4"/>
          <w:sz w:val="28"/>
          <w:szCs w:val="28"/>
        </w:rPr>
        <w:t xml:space="preserve">/NQ-HĐND ngày </w:t>
      </w:r>
      <w:r w:rsidR="00C13284" w:rsidRPr="00F2150C">
        <w:rPr>
          <w:b w:val="0"/>
          <w:spacing w:val="-4"/>
          <w:sz w:val="28"/>
          <w:szCs w:val="28"/>
        </w:rPr>
        <w:t xml:space="preserve">08 tháng 12 năm 2023 của Hội đồng nhân dân tỉnh Đồng Nai </w:t>
      </w:r>
      <w:bookmarkStart w:id="3" w:name="dieu_1_name"/>
      <w:r w:rsidR="0084245F" w:rsidRPr="00F2150C">
        <w:rPr>
          <w:b w:val="0"/>
          <w:spacing w:val="-4"/>
          <w:sz w:val="28"/>
          <w:szCs w:val="28"/>
        </w:rPr>
        <w:t>quy định mức chi thực hiện công tác phổ biến, giáo dục pháp luật; chuẩn tiếp cận pháp luật và hòa giải ở cơ sở trên địa bàn tỉnh Đồng Nai</w:t>
      </w:r>
      <w:bookmarkEnd w:id="3"/>
      <w:r w:rsidR="00286DF4" w:rsidRPr="00F2150C">
        <w:rPr>
          <w:b w:val="0"/>
          <w:spacing w:val="-4"/>
          <w:sz w:val="28"/>
          <w:szCs w:val="28"/>
        </w:rPr>
        <w:t>.</w:t>
      </w:r>
    </w:p>
    <w:p w14:paraId="6EB500CB" w14:textId="5FBC5674" w:rsidR="00BA40D9" w:rsidRPr="008016F6" w:rsidRDefault="00F2150C" w:rsidP="00240DC2">
      <w:pPr>
        <w:pStyle w:val="Bodytext30"/>
        <w:spacing w:before="120" w:after="120" w:line="240" w:lineRule="auto"/>
        <w:ind w:firstLine="720"/>
        <w:jc w:val="both"/>
        <w:rPr>
          <w:b w:val="0"/>
          <w:sz w:val="28"/>
          <w:szCs w:val="28"/>
        </w:rPr>
      </w:pPr>
      <w:r>
        <w:rPr>
          <w:b w:val="0"/>
          <w:sz w:val="28"/>
          <w:szCs w:val="28"/>
        </w:rPr>
        <w:t>2</w:t>
      </w:r>
      <w:r w:rsidR="00BA40D9" w:rsidRPr="008016F6">
        <w:rPr>
          <w:b w:val="0"/>
          <w:sz w:val="28"/>
          <w:szCs w:val="28"/>
        </w:rPr>
        <w:t xml:space="preserve">. Nghị quyết này bãi bỏ </w:t>
      </w:r>
      <w:r w:rsidR="000B2884" w:rsidRPr="008016F6">
        <w:rPr>
          <w:b w:val="0"/>
          <w:sz w:val="28"/>
          <w:szCs w:val="28"/>
        </w:rPr>
        <w:t xml:space="preserve">khoản 5 Điều 1 </w:t>
      </w:r>
      <w:r w:rsidR="00BA40D9" w:rsidRPr="008016F6">
        <w:rPr>
          <w:b w:val="0"/>
          <w:sz w:val="28"/>
          <w:szCs w:val="28"/>
        </w:rPr>
        <w:t>Nghị quyết số</w:t>
      </w:r>
      <w:r w:rsidR="00AE3C3B" w:rsidRPr="008016F6">
        <w:rPr>
          <w:b w:val="0"/>
          <w:sz w:val="28"/>
          <w:szCs w:val="28"/>
        </w:rPr>
        <w:t xml:space="preserve"> 17/NQ-HĐND ngày 08 tháng 7 năm 2025 của Hội đồng nhân dân tỉnh Đồng Nai áp dụng, bãi bỏ văn bản quy phạm pháp luật c</w:t>
      </w:r>
      <w:r w:rsidR="00424AD4" w:rsidRPr="008016F6">
        <w:rPr>
          <w:b w:val="0"/>
          <w:sz w:val="28"/>
          <w:szCs w:val="28"/>
        </w:rPr>
        <w:t>ủa</w:t>
      </w:r>
      <w:r w:rsidR="00AE3C3B" w:rsidRPr="008016F6">
        <w:rPr>
          <w:b w:val="0"/>
          <w:sz w:val="28"/>
          <w:szCs w:val="28"/>
        </w:rPr>
        <w:t xml:space="preserve"> Hội đồng nhân dân tỉnh</w:t>
      </w:r>
      <w:r w:rsidR="002744A0" w:rsidRPr="008016F6">
        <w:rPr>
          <w:b w:val="0"/>
          <w:sz w:val="28"/>
          <w:szCs w:val="28"/>
        </w:rPr>
        <w:t xml:space="preserve"> Đồng Nai và Hội đồng nhân dân tỉnh Bình Phước ban hành thuộc lĩnh vực tư pháp</w:t>
      </w:r>
      <w:r w:rsidR="00D801DF" w:rsidRPr="008016F6">
        <w:rPr>
          <w:b w:val="0"/>
          <w:sz w:val="28"/>
          <w:szCs w:val="28"/>
        </w:rPr>
        <w:t xml:space="preserve"> trên địa bàn tỉnh Đồng Nai.</w:t>
      </w:r>
    </w:p>
    <w:p w14:paraId="753CAD55" w14:textId="23CD1455" w:rsidR="00240DC2" w:rsidRPr="008016F6" w:rsidRDefault="00F2150C" w:rsidP="00240DC2">
      <w:pPr>
        <w:pStyle w:val="Bodytext30"/>
        <w:spacing w:before="120" w:after="120" w:line="240" w:lineRule="auto"/>
        <w:ind w:firstLine="720"/>
        <w:jc w:val="both"/>
        <w:rPr>
          <w:b w:val="0"/>
          <w:sz w:val="28"/>
          <w:szCs w:val="28"/>
        </w:rPr>
      </w:pPr>
      <w:r>
        <w:rPr>
          <w:b w:val="0"/>
          <w:sz w:val="28"/>
          <w:szCs w:val="28"/>
        </w:rPr>
        <w:t>3</w:t>
      </w:r>
      <w:r w:rsidR="00240DC2" w:rsidRPr="008016F6">
        <w:rPr>
          <w:b w:val="0"/>
          <w:sz w:val="28"/>
          <w:szCs w:val="28"/>
        </w:rPr>
        <w:t>. Trong quá trình thực hiện, nếu các văn bản quy phạm pháp luật được dẫn chiếu để áp dụng tại Nghị quyết này được sửa đổi, bổ sung, thay thế thì áp dụng theo các văn bản sửa đổi, bổ sung, thay thế đó.</w:t>
      </w:r>
    </w:p>
    <w:bookmarkEnd w:id="0"/>
    <w:p w14:paraId="7C180F0E" w14:textId="77777777" w:rsidR="00A7715A" w:rsidRDefault="00A7715A">
      <w:pPr>
        <w:rPr>
          <w:rFonts w:eastAsia="Arial"/>
          <w:b/>
          <w:bCs/>
          <w:sz w:val="28"/>
          <w:szCs w:val="28"/>
        </w:rPr>
      </w:pPr>
      <w:r>
        <w:rPr>
          <w:sz w:val="28"/>
          <w:szCs w:val="28"/>
        </w:rPr>
        <w:br w:type="page"/>
      </w:r>
    </w:p>
    <w:p w14:paraId="33D29170" w14:textId="68ACADD8" w:rsidR="00F65DC3" w:rsidRPr="008016F6" w:rsidRDefault="00DF0514" w:rsidP="00DF0514">
      <w:pPr>
        <w:pStyle w:val="Bodytext30"/>
        <w:spacing w:before="120" w:after="120" w:line="240" w:lineRule="auto"/>
        <w:ind w:firstLine="720"/>
        <w:jc w:val="both"/>
        <w:rPr>
          <w:sz w:val="28"/>
          <w:szCs w:val="28"/>
        </w:rPr>
      </w:pPr>
      <w:r w:rsidRPr="008016F6">
        <w:rPr>
          <w:sz w:val="28"/>
          <w:szCs w:val="28"/>
        </w:rPr>
        <w:lastRenderedPageBreak/>
        <w:t xml:space="preserve">Điều </w:t>
      </w:r>
      <w:r w:rsidR="00B64657">
        <w:rPr>
          <w:sz w:val="28"/>
          <w:szCs w:val="28"/>
        </w:rPr>
        <w:t>5</w:t>
      </w:r>
      <w:r w:rsidRPr="008016F6">
        <w:rPr>
          <w:sz w:val="28"/>
          <w:szCs w:val="28"/>
        </w:rPr>
        <w:t xml:space="preserve">. </w:t>
      </w:r>
      <w:r w:rsidR="00240DC2" w:rsidRPr="008016F6">
        <w:rPr>
          <w:sz w:val="28"/>
          <w:szCs w:val="28"/>
        </w:rPr>
        <w:t>Tổ chức</w:t>
      </w:r>
      <w:r w:rsidR="00F65DC3" w:rsidRPr="008016F6">
        <w:rPr>
          <w:sz w:val="28"/>
          <w:szCs w:val="28"/>
        </w:rPr>
        <w:t xml:space="preserve"> </w:t>
      </w:r>
      <w:r w:rsidR="00240DC2" w:rsidRPr="008016F6">
        <w:rPr>
          <w:sz w:val="28"/>
          <w:szCs w:val="28"/>
        </w:rPr>
        <w:t>thực hiện</w:t>
      </w:r>
      <w:r w:rsidR="00F65DC3" w:rsidRPr="008016F6">
        <w:rPr>
          <w:sz w:val="28"/>
          <w:szCs w:val="28"/>
        </w:rPr>
        <w:t xml:space="preserve"> </w:t>
      </w:r>
    </w:p>
    <w:p w14:paraId="30223D65" w14:textId="77777777" w:rsidR="00DF0514" w:rsidRPr="008016F6" w:rsidRDefault="00DF0514" w:rsidP="00DF0514">
      <w:pPr>
        <w:pStyle w:val="Bodytext30"/>
        <w:spacing w:before="120" w:after="120" w:line="240" w:lineRule="auto"/>
        <w:ind w:firstLine="720"/>
        <w:jc w:val="both"/>
        <w:rPr>
          <w:b w:val="0"/>
          <w:sz w:val="28"/>
          <w:szCs w:val="28"/>
        </w:rPr>
      </w:pPr>
      <w:r w:rsidRPr="008016F6">
        <w:rPr>
          <w:b w:val="0"/>
          <w:sz w:val="28"/>
          <w:szCs w:val="28"/>
        </w:rPr>
        <w:t xml:space="preserve">1. </w:t>
      </w:r>
      <w:r w:rsidR="00F65DC3" w:rsidRPr="008016F6">
        <w:rPr>
          <w:b w:val="0"/>
          <w:sz w:val="28"/>
          <w:szCs w:val="28"/>
        </w:rPr>
        <w:t xml:space="preserve">Giao </w:t>
      </w:r>
      <w:r w:rsidRPr="008016F6">
        <w:rPr>
          <w:b w:val="0"/>
          <w:sz w:val="28"/>
          <w:szCs w:val="28"/>
        </w:rPr>
        <w:t>Ủy ban nhân dân tỉnh tổ chức triển khai thực hiện Nghị quyết này.</w:t>
      </w:r>
    </w:p>
    <w:p w14:paraId="2B63C58F" w14:textId="77777777" w:rsidR="001B30B7" w:rsidRDefault="00DF0514" w:rsidP="001B30B7">
      <w:pPr>
        <w:spacing w:before="120" w:after="120"/>
        <w:ind w:firstLine="720"/>
        <w:jc w:val="both"/>
        <w:rPr>
          <w:iCs/>
          <w:color w:val="000000"/>
          <w:sz w:val="28"/>
          <w:szCs w:val="28"/>
        </w:rPr>
      </w:pPr>
      <w:r w:rsidRPr="008016F6">
        <w:rPr>
          <w:sz w:val="28"/>
          <w:szCs w:val="28"/>
        </w:rPr>
        <w:t xml:space="preserve">2. </w:t>
      </w:r>
      <w:r w:rsidR="001B30B7" w:rsidRPr="00F76578">
        <w:rPr>
          <w:iCs/>
          <w:color w:val="000000"/>
          <w:sz w:val="28"/>
          <w:szCs w:val="28"/>
        </w:rPr>
        <w:t>Thường trực Hội đồng nhân dân tỉnh, các Ban của Hội đồng nhân dân</w:t>
      </w:r>
      <w:r w:rsidR="001B30B7">
        <w:rPr>
          <w:iCs/>
          <w:color w:val="000000"/>
          <w:sz w:val="28"/>
          <w:szCs w:val="28"/>
        </w:rPr>
        <w:t xml:space="preserve"> </w:t>
      </w:r>
      <w:r w:rsidR="001B30B7" w:rsidRPr="00F76578">
        <w:rPr>
          <w:iCs/>
          <w:color w:val="000000"/>
          <w:sz w:val="28"/>
          <w:szCs w:val="28"/>
        </w:rPr>
        <w:t>tỉnh, các Tổ đại biểu Hội đồng nhân dân tỉnh và các đại biểu Hội đồng nhân dân</w:t>
      </w:r>
      <w:r w:rsidR="001B30B7">
        <w:rPr>
          <w:iCs/>
          <w:color w:val="000000"/>
          <w:sz w:val="28"/>
          <w:szCs w:val="28"/>
        </w:rPr>
        <w:t xml:space="preserve"> </w:t>
      </w:r>
      <w:r w:rsidR="001B30B7" w:rsidRPr="00F76578">
        <w:rPr>
          <w:iCs/>
          <w:color w:val="000000"/>
          <w:sz w:val="28"/>
          <w:szCs w:val="28"/>
        </w:rPr>
        <w:t xml:space="preserve">tỉnh giám sát việc thực hiện Nghị quyết. </w:t>
      </w:r>
    </w:p>
    <w:p w14:paraId="09EEF98D" w14:textId="2D9ECE4D" w:rsidR="000B5690" w:rsidRPr="001B30B7" w:rsidRDefault="000B5690" w:rsidP="001B30B7">
      <w:pPr>
        <w:pStyle w:val="Bodytext30"/>
        <w:spacing w:before="120" w:after="120" w:line="240" w:lineRule="auto"/>
        <w:ind w:firstLine="720"/>
        <w:jc w:val="both"/>
        <w:rPr>
          <w:b w:val="0"/>
          <w:sz w:val="28"/>
          <w:szCs w:val="28"/>
        </w:rPr>
      </w:pPr>
      <w:r w:rsidRPr="001B30B7">
        <w:rPr>
          <w:b w:val="0"/>
          <w:sz w:val="28"/>
          <w:szCs w:val="28"/>
        </w:rPr>
        <w:t>3. Đề nghị Ủy ban Mặt trận Tổ quốc Việt Nam tỉnh giám sát và vận động Nhân dân cùng tham gia giám sát thực hiện Nghị quyết này; phản ánh kịp thời tâm tư, nguyện vọng của Nhân dân và kiến nghị đến các cơ quan có thẩm quyền theo quy định của pháp luật.</w:t>
      </w:r>
    </w:p>
    <w:p w14:paraId="571B702B" w14:textId="6EE740B0" w:rsidR="00273896" w:rsidRPr="008016F6" w:rsidRDefault="00D94BE9" w:rsidP="00DF0514">
      <w:pPr>
        <w:pStyle w:val="Bodytext30"/>
        <w:spacing w:before="120" w:after="120" w:line="240" w:lineRule="auto"/>
        <w:ind w:firstLine="720"/>
        <w:jc w:val="both"/>
        <w:rPr>
          <w:b w:val="0"/>
          <w:sz w:val="28"/>
          <w:szCs w:val="28"/>
        </w:rPr>
      </w:pPr>
      <w:r w:rsidRPr="008016F6">
        <w:rPr>
          <w:b w:val="0"/>
          <w:i/>
          <w:iCs/>
          <w:sz w:val="28"/>
          <w:szCs w:val="28"/>
        </w:rPr>
        <w:t xml:space="preserve">Nghị quyết này đã được Hội đồng nhân dân tỉnh </w:t>
      </w:r>
      <w:r w:rsidR="00512823" w:rsidRPr="008016F6">
        <w:rPr>
          <w:b w:val="0"/>
          <w:i/>
          <w:iCs/>
          <w:sz w:val="28"/>
          <w:szCs w:val="28"/>
        </w:rPr>
        <w:t>Đồng Nai</w:t>
      </w:r>
      <w:r w:rsidRPr="008016F6">
        <w:rPr>
          <w:b w:val="0"/>
          <w:i/>
          <w:iCs/>
          <w:sz w:val="28"/>
          <w:szCs w:val="28"/>
        </w:rPr>
        <w:t xml:space="preserve"> Khóa X, Kỳ họp thứ </w:t>
      </w:r>
      <w:r w:rsidR="006610B5" w:rsidRPr="008016F6">
        <w:rPr>
          <w:b w:val="0"/>
          <w:i/>
          <w:iCs/>
          <w:sz w:val="28"/>
          <w:szCs w:val="28"/>
        </w:rPr>
        <w:t xml:space="preserve">    </w:t>
      </w:r>
      <w:r w:rsidRPr="008016F6">
        <w:rPr>
          <w:b w:val="0"/>
          <w:i/>
          <w:iCs/>
          <w:sz w:val="28"/>
          <w:szCs w:val="28"/>
        </w:rPr>
        <w:t xml:space="preserve"> thông qua ngày </w:t>
      </w:r>
      <w:r w:rsidR="00B34577" w:rsidRPr="008016F6">
        <w:rPr>
          <w:b w:val="0"/>
          <w:i/>
          <w:iCs/>
          <w:sz w:val="28"/>
          <w:szCs w:val="28"/>
        </w:rPr>
        <w:t>…</w:t>
      </w:r>
      <w:r w:rsidRPr="008016F6">
        <w:rPr>
          <w:b w:val="0"/>
          <w:i/>
          <w:iCs/>
          <w:sz w:val="28"/>
          <w:szCs w:val="28"/>
        </w:rPr>
        <w:t xml:space="preserve"> tháng </w:t>
      </w:r>
      <w:r w:rsidR="00B34577" w:rsidRPr="008016F6">
        <w:rPr>
          <w:b w:val="0"/>
          <w:i/>
          <w:iCs/>
          <w:sz w:val="28"/>
          <w:szCs w:val="28"/>
        </w:rPr>
        <w:t>….</w:t>
      </w:r>
      <w:r w:rsidRPr="008016F6">
        <w:rPr>
          <w:b w:val="0"/>
          <w:i/>
          <w:iCs/>
          <w:sz w:val="28"/>
          <w:szCs w:val="28"/>
        </w:rPr>
        <w:t xml:space="preserve"> năm 202</w:t>
      </w:r>
      <w:r w:rsidR="00512823" w:rsidRPr="008016F6">
        <w:rPr>
          <w:b w:val="0"/>
          <w:i/>
          <w:iCs/>
          <w:sz w:val="28"/>
          <w:szCs w:val="28"/>
        </w:rPr>
        <w:t>6</w:t>
      </w:r>
      <w:r w:rsidR="008341A2" w:rsidRPr="008016F6">
        <w:rPr>
          <w:b w:val="0"/>
          <w:i/>
          <w:iCs/>
          <w:sz w:val="28"/>
          <w:szCs w:val="28"/>
        </w:rPr>
        <w:t>.</w:t>
      </w:r>
    </w:p>
    <w:tbl>
      <w:tblPr>
        <w:tblpPr w:leftFromText="180" w:rightFromText="180" w:vertAnchor="text" w:horzAnchor="margin" w:tblpY="377"/>
        <w:tblW w:w="9464" w:type="dxa"/>
        <w:tblLook w:val="01E0" w:firstRow="1" w:lastRow="1" w:firstColumn="1" w:lastColumn="1" w:noHBand="0" w:noVBand="0"/>
      </w:tblPr>
      <w:tblGrid>
        <w:gridCol w:w="4786"/>
        <w:gridCol w:w="4678"/>
      </w:tblGrid>
      <w:tr w:rsidR="008016F6" w:rsidRPr="008016F6" w14:paraId="1C38AAB3" w14:textId="77777777" w:rsidTr="001C75C7">
        <w:trPr>
          <w:trHeight w:val="220"/>
        </w:trPr>
        <w:tc>
          <w:tcPr>
            <w:tcW w:w="4786" w:type="dxa"/>
          </w:tcPr>
          <w:p w14:paraId="52AAF59D" w14:textId="77777777" w:rsidR="00E51ECC" w:rsidRPr="008016F6" w:rsidRDefault="00E51ECC" w:rsidP="001C75C7">
            <w:pPr>
              <w:tabs>
                <w:tab w:val="center" w:pos="4320"/>
                <w:tab w:val="right" w:pos="8640"/>
              </w:tabs>
              <w:spacing w:line="276" w:lineRule="auto"/>
              <w:jc w:val="both"/>
              <w:rPr>
                <w:sz w:val="24"/>
                <w:szCs w:val="24"/>
                <w:lang w:val="nl-NL"/>
              </w:rPr>
            </w:pPr>
            <w:r w:rsidRPr="008016F6">
              <w:rPr>
                <w:b/>
                <w:i/>
                <w:sz w:val="24"/>
                <w:szCs w:val="24"/>
                <w:lang w:val="nl-NL"/>
              </w:rPr>
              <w:t>Nơi nhận:</w:t>
            </w:r>
          </w:p>
          <w:p w14:paraId="1D300079" w14:textId="400EFB4D" w:rsidR="000A2D37" w:rsidRPr="008016F6" w:rsidRDefault="000A2D37" w:rsidP="001C75C7">
            <w:pPr>
              <w:pStyle w:val="BodyText"/>
              <w:spacing w:before="0" w:line="240" w:lineRule="auto"/>
              <w:jc w:val="left"/>
              <w:rPr>
                <w:rFonts w:ascii="Times New Roman" w:eastAsia="Arial" w:hAnsi="Times New Roman"/>
                <w:sz w:val="22"/>
                <w:szCs w:val="22"/>
                <w:lang w:val="nl-NL"/>
              </w:rPr>
            </w:pPr>
            <w:r w:rsidRPr="008016F6">
              <w:rPr>
                <w:rFonts w:ascii="Times New Roman" w:eastAsia="Arial" w:hAnsi="Times New Roman"/>
                <w:b w:val="0"/>
                <w:sz w:val="22"/>
                <w:szCs w:val="22"/>
              </w:rPr>
              <w:t>- Ủy ban Thường vụ Quốc hội;</w:t>
            </w:r>
            <w:r w:rsidRPr="008016F6">
              <w:rPr>
                <w:rFonts w:ascii="Times New Roman" w:eastAsia="Arial" w:hAnsi="Times New Roman"/>
                <w:b w:val="0"/>
                <w:sz w:val="22"/>
                <w:szCs w:val="22"/>
              </w:rPr>
              <w:br/>
              <w:t>- Chính phủ;</w:t>
            </w:r>
            <w:r w:rsidRPr="008016F6">
              <w:rPr>
                <w:rFonts w:ascii="Times New Roman" w:eastAsia="Arial" w:hAnsi="Times New Roman"/>
                <w:b w:val="0"/>
                <w:bCs/>
                <w:i/>
                <w:iCs/>
                <w:sz w:val="22"/>
                <w:szCs w:val="22"/>
              </w:rPr>
              <w:br/>
            </w:r>
            <w:r w:rsidRPr="008016F6">
              <w:rPr>
                <w:rFonts w:ascii="Times New Roman" w:eastAsia="Arial" w:hAnsi="Times New Roman"/>
                <w:b w:val="0"/>
                <w:sz w:val="22"/>
                <w:szCs w:val="22"/>
              </w:rPr>
              <w:t>- Văn phòng: Quốc hội, Chính phủ (A+B);</w:t>
            </w:r>
            <w:r w:rsidRPr="008016F6">
              <w:rPr>
                <w:rFonts w:ascii="Times New Roman" w:eastAsia="Arial" w:hAnsi="Times New Roman"/>
                <w:b w:val="0"/>
                <w:sz w:val="22"/>
                <w:szCs w:val="22"/>
              </w:rPr>
              <w:br/>
              <w:t>- Vụ pháp chế - Bộ Tài chính;</w:t>
            </w:r>
            <w:r w:rsidRPr="008016F6">
              <w:rPr>
                <w:rFonts w:ascii="Times New Roman" w:eastAsia="Arial" w:hAnsi="Times New Roman"/>
                <w:sz w:val="22"/>
                <w:szCs w:val="22"/>
                <w:lang w:val="nl-NL"/>
              </w:rPr>
              <w:t xml:space="preserve"> </w:t>
            </w:r>
          </w:p>
          <w:p w14:paraId="039D79A1" w14:textId="670DF2FF" w:rsidR="00E51ECC" w:rsidRPr="008016F6" w:rsidRDefault="00E51ECC" w:rsidP="001C75C7">
            <w:pPr>
              <w:pStyle w:val="BodyText"/>
              <w:spacing w:before="0" w:line="240" w:lineRule="auto"/>
              <w:jc w:val="left"/>
              <w:rPr>
                <w:rFonts w:ascii="Times New Roman" w:eastAsia="Arial" w:hAnsi="Times New Roman"/>
                <w:b w:val="0"/>
                <w:sz w:val="22"/>
                <w:szCs w:val="22"/>
                <w:lang w:val="nl-NL"/>
              </w:rPr>
            </w:pPr>
            <w:r w:rsidRPr="008016F6">
              <w:rPr>
                <w:rFonts w:ascii="Times New Roman" w:eastAsia="Arial" w:hAnsi="Times New Roman"/>
                <w:b w:val="0"/>
                <w:sz w:val="22"/>
                <w:szCs w:val="22"/>
                <w:lang w:val="nl-NL"/>
              </w:rPr>
              <w:t>- Cụ</w:t>
            </w:r>
            <w:r w:rsidR="00655068" w:rsidRPr="008016F6">
              <w:rPr>
                <w:rFonts w:ascii="Times New Roman" w:eastAsia="Arial" w:hAnsi="Times New Roman"/>
                <w:b w:val="0"/>
                <w:sz w:val="22"/>
                <w:szCs w:val="22"/>
                <w:lang w:val="nl-NL"/>
              </w:rPr>
              <w:t>c KTVB &amp;</w:t>
            </w:r>
            <w:r w:rsidR="00EC4997" w:rsidRPr="008016F6">
              <w:rPr>
                <w:rFonts w:ascii="Times New Roman" w:eastAsia="Arial" w:hAnsi="Times New Roman"/>
                <w:b w:val="0"/>
                <w:sz w:val="22"/>
                <w:szCs w:val="22"/>
                <w:lang w:val="nl-NL"/>
              </w:rPr>
              <w:t xml:space="preserve"> </w:t>
            </w:r>
            <w:r w:rsidR="00512823" w:rsidRPr="008016F6">
              <w:rPr>
                <w:rFonts w:ascii="Times New Roman" w:eastAsia="Arial" w:hAnsi="Times New Roman"/>
                <w:b w:val="0"/>
                <w:sz w:val="22"/>
                <w:szCs w:val="22"/>
                <w:lang w:val="nl-NL"/>
              </w:rPr>
              <w:t>TCTHPL</w:t>
            </w:r>
            <w:r w:rsidR="00655068" w:rsidRPr="008016F6">
              <w:rPr>
                <w:rFonts w:ascii="Times New Roman" w:eastAsia="Arial" w:hAnsi="Times New Roman"/>
                <w:b w:val="0"/>
                <w:sz w:val="22"/>
                <w:szCs w:val="22"/>
                <w:lang w:val="nl-NL"/>
              </w:rPr>
              <w:t xml:space="preserve"> - </w:t>
            </w:r>
            <w:r w:rsidRPr="008016F6">
              <w:rPr>
                <w:rFonts w:ascii="Times New Roman" w:eastAsia="Arial" w:hAnsi="Times New Roman"/>
                <w:b w:val="0"/>
                <w:sz w:val="22"/>
                <w:szCs w:val="22"/>
                <w:lang w:val="nl-NL"/>
              </w:rPr>
              <w:t>Bộ Tư pháp;</w:t>
            </w:r>
          </w:p>
          <w:p w14:paraId="4B4FD70D" w14:textId="1FCC9413" w:rsidR="00D12101" w:rsidRPr="008016F6" w:rsidRDefault="00D12101" w:rsidP="001C75C7">
            <w:pPr>
              <w:tabs>
                <w:tab w:val="center" w:pos="4320"/>
                <w:tab w:val="right" w:pos="8640"/>
              </w:tabs>
              <w:jc w:val="both"/>
              <w:rPr>
                <w:spacing w:val="-6"/>
                <w:sz w:val="22"/>
                <w:szCs w:val="22"/>
                <w:shd w:val="clear" w:color="auto" w:fill="FFFFFF"/>
              </w:rPr>
            </w:pPr>
            <w:r w:rsidRPr="008016F6">
              <w:rPr>
                <w:spacing w:val="-6"/>
                <w:sz w:val="22"/>
                <w:szCs w:val="22"/>
                <w:shd w:val="clear" w:color="auto" w:fill="FFFFFF"/>
              </w:rPr>
              <w:t>- Tỉnh ủy,</w:t>
            </w:r>
            <w:r w:rsidR="007C1EFC" w:rsidRPr="008016F6">
              <w:rPr>
                <w:spacing w:val="-6"/>
                <w:sz w:val="22"/>
                <w:szCs w:val="22"/>
                <w:shd w:val="clear" w:color="auto" w:fill="FFFFFF"/>
              </w:rPr>
              <w:t xml:space="preserve"> HĐND</w:t>
            </w:r>
            <w:r w:rsidR="00C3167E" w:rsidRPr="008016F6">
              <w:rPr>
                <w:spacing w:val="-6"/>
                <w:sz w:val="22"/>
                <w:szCs w:val="22"/>
                <w:shd w:val="clear" w:color="auto" w:fill="FFFFFF"/>
              </w:rPr>
              <w:t xml:space="preserve"> tỉnh</w:t>
            </w:r>
            <w:r w:rsidR="007C1EFC" w:rsidRPr="008016F6">
              <w:rPr>
                <w:spacing w:val="-6"/>
                <w:sz w:val="22"/>
                <w:szCs w:val="22"/>
                <w:shd w:val="clear" w:color="auto" w:fill="FFFFFF"/>
              </w:rPr>
              <w:t>,</w:t>
            </w:r>
            <w:r w:rsidRPr="008016F6">
              <w:rPr>
                <w:spacing w:val="-6"/>
                <w:sz w:val="22"/>
                <w:szCs w:val="22"/>
                <w:shd w:val="clear" w:color="auto" w:fill="FFFFFF"/>
              </w:rPr>
              <w:t xml:space="preserve"> UBND</w:t>
            </w:r>
            <w:r w:rsidR="00C3167E" w:rsidRPr="008016F6">
              <w:rPr>
                <w:spacing w:val="-6"/>
                <w:sz w:val="22"/>
                <w:szCs w:val="22"/>
                <w:shd w:val="clear" w:color="auto" w:fill="FFFFFF"/>
              </w:rPr>
              <w:t xml:space="preserve"> tỉnh</w:t>
            </w:r>
            <w:r w:rsidRPr="008016F6">
              <w:rPr>
                <w:spacing w:val="-6"/>
                <w:sz w:val="22"/>
                <w:szCs w:val="22"/>
                <w:shd w:val="clear" w:color="auto" w:fill="FFFFFF"/>
              </w:rPr>
              <w:t xml:space="preserve">, UBMTTQVN tỉnh; </w:t>
            </w:r>
          </w:p>
          <w:p w14:paraId="475D068B" w14:textId="14782D48" w:rsidR="00DE030B" w:rsidRPr="008016F6" w:rsidRDefault="00D12101" w:rsidP="001C75C7">
            <w:pPr>
              <w:tabs>
                <w:tab w:val="center" w:pos="4320"/>
                <w:tab w:val="right" w:pos="8640"/>
              </w:tabs>
              <w:jc w:val="both"/>
              <w:rPr>
                <w:sz w:val="22"/>
                <w:szCs w:val="22"/>
                <w:shd w:val="clear" w:color="auto" w:fill="FFFFFF"/>
              </w:rPr>
            </w:pPr>
            <w:r w:rsidRPr="008016F6">
              <w:rPr>
                <w:sz w:val="22"/>
                <w:szCs w:val="22"/>
                <w:shd w:val="clear" w:color="auto" w:fill="FFFFFF"/>
              </w:rPr>
              <w:t xml:space="preserve">- Văn phòng: Tỉnh ủy, Đoàn ĐBQH &amp;HĐND tỉnh, </w:t>
            </w:r>
          </w:p>
          <w:p w14:paraId="56D0EAB8" w14:textId="77777777" w:rsidR="00D12101" w:rsidRPr="008016F6" w:rsidRDefault="00DE030B" w:rsidP="001C75C7">
            <w:pPr>
              <w:tabs>
                <w:tab w:val="center" w:pos="4320"/>
                <w:tab w:val="right" w:pos="8640"/>
              </w:tabs>
              <w:jc w:val="both"/>
              <w:rPr>
                <w:sz w:val="22"/>
                <w:szCs w:val="22"/>
                <w:shd w:val="clear" w:color="auto" w:fill="FFFFFF"/>
              </w:rPr>
            </w:pPr>
            <w:r w:rsidRPr="008016F6">
              <w:rPr>
                <w:sz w:val="22"/>
                <w:szCs w:val="22"/>
                <w:shd w:val="clear" w:color="auto" w:fill="FFFFFF"/>
              </w:rPr>
              <w:t xml:space="preserve">  </w:t>
            </w:r>
            <w:r w:rsidR="00D12101" w:rsidRPr="008016F6">
              <w:rPr>
                <w:sz w:val="22"/>
                <w:szCs w:val="22"/>
                <w:shd w:val="clear" w:color="auto" w:fill="FFFFFF"/>
              </w:rPr>
              <w:t>UBND tỉnh;</w:t>
            </w:r>
          </w:p>
          <w:p w14:paraId="27C98816" w14:textId="77777777" w:rsidR="00D12101" w:rsidRPr="008016F6" w:rsidRDefault="00D12101" w:rsidP="001C75C7">
            <w:pPr>
              <w:tabs>
                <w:tab w:val="center" w:pos="4320"/>
                <w:tab w:val="right" w:pos="8640"/>
              </w:tabs>
              <w:jc w:val="both"/>
              <w:rPr>
                <w:sz w:val="22"/>
                <w:szCs w:val="22"/>
                <w:shd w:val="clear" w:color="auto" w:fill="FFFFFF"/>
              </w:rPr>
            </w:pPr>
            <w:r w:rsidRPr="008016F6">
              <w:rPr>
                <w:sz w:val="22"/>
                <w:szCs w:val="22"/>
                <w:shd w:val="clear" w:color="auto" w:fill="FFFFFF"/>
              </w:rPr>
              <w:t xml:space="preserve"> - Các Sở, ban, ngành tỉnh; </w:t>
            </w:r>
          </w:p>
          <w:p w14:paraId="79767567" w14:textId="516E09B0" w:rsidR="006610B5" w:rsidRPr="008016F6" w:rsidRDefault="006610B5" w:rsidP="001C75C7">
            <w:pPr>
              <w:tabs>
                <w:tab w:val="center" w:pos="4320"/>
                <w:tab w:val="right" w:pos="8640"/>
              </w:tabs>
              <w:jc w:val="both"/>
              <w:rPr>
                <w:sz w:val="22"/>
                <w:szCs w:val="22"/>
                <w:shd w:val="clear" w:color="auto" w:fill="FFFFFF"/>
              </w:rPr>
            </w:pPr>
            <w:r w:rsidRPr="008016F6">
              <w:rPr>
                <w:sz w:val="22"/>
                <w:szCs w:val="22"/>
                <w:shd w:val="clear" w:color="auto" w:fill="FFFFFF"/>
              </w:rPr>
              <w:t>- Kho bạc Nhà nước khu vực X</w:t>
            </w:r>
            <w:r w:rsidR="006B0531" w:rsidRPr="008016F6">
              <w:rPr>
                <w:sz w:val="22"/>
                <w:szCs w:val="22"/>
                <w:shd w:val="clear" w:color="auto" w:fill="FFFFFF"/>
              </w:rPr>
              <w:t>VII</w:t>
            </w:r>
            <w:r w:rsidRPr="008016F6">
              <w:rPr>
                <w:sz w:val="22"/>
                <w:szCs w:val="22"/>
                <w:shd w:val="clear" w:color="auto" w:fill="FFFFFF"/>
              </w:rPr>
              <w:t>;</w:t>
            </w:r>
          </w:p>
          <w:p w14:paraId="5082E036" w14:textId="77777777" w:rsidR="00D12101" w:rsidRPr="008016F6" w:rsidRDefault="00D12101" w:rsidP="001C75C7">
            <w:pPr>
              <w:tabs>
                <w:tab w:val="center" w:pos="4320"/>
                <w:tab w:val="right" w:pos="8640"/>
              </w:tabs>
              <w:jc w:val="both"/>
              <w:rPr>
                <w:sz w:val="22"/>
                <w:szCs w:val="22"/>
                <w:shd w:val="clear" w:color="auto" w:fill="FFFFFF"/>
              </w:rPr>
            </w:pPr>
            <w:r w:rsidRPr="008016F6">
              <w:rPr>
                <w:sz w:val="22"/>
                <w:szCs w:val="22"/>
                <w:shd w:val="clear" w:color="auto" w:fill="FFFFFF"/>
              </w:rPr>
              <w:t xml:space="preserve">- </w:t>
            </w:r>
            <w:r w:rsidR="00DE030B" w:rsidRPr="008016F6">
              <w:rPr>
                <w:sz w:val="22"/>
                <w:szCs w:val="22"/>
                <w:shd w:val="clear" w:color="auto" w:fill="FFFFFF"/>
              </w:rPr>
              <w:t xml:space="preserve">Thường trực </w:t>
            </w:r>
            <w:r w:rsidRPr="008016F6">
              <w:rPr>
                <w:sz w:val="22"/>
                <w:szCs w:val="22"/>
                <w:shd w:val="clear" w:color="auto" w:fill="FFFFFF"/>
              </w:rPr>
              <w:t xml:space="preserve">HĐND, UBND các </w:t>
            </w:r>
            <w:r w:rsidR="00DE030B" w:rsidRPr="008016F6">
              <w:rPr>
                <w:sz w:val="22"/>
                <w:szCs w:val="22"/>
                <w:shd w:val="clear" w:color="auto" w:fill="FFFFFF"/>
              </w:rPr>
              <w:t>xã, phường</w:t>
            </w:r>
            <w:r w:rsidRPr="008016F6">
              <w:rPr>
                <w:sz w:val="22"/>
                <w:szCs w:val="22"/>
                <w:shd w:val="clear" w:color="auto" w:fill="FFFFFF"/>
              </w:rPr>
              <w:t xml:space="preserve">; </w:t>
            </w:r>
          </w:p>
          <w:p w14:paraId="46E6A381" w14:textId="77777777" w:rsidR="00295E5E" w:rsidRPr="008016F6" w:rsidRDefault="00D12101" w:rsidP="001C75C7">
            <w:pPr>
              <w:tabs>
                <w:tab w:val="center" w:pos="4320"/>
                <w:tab w:val="right" w:pos="8640"/>
              </w:tabs>
              <w:jc w:val="both"/>
              <w:rPr>
                <w:sz w:val="22"/>
                <w:szCs w:val="22"/>
                <w:shd w:val="clear" w:color="auto" w:fill="FFFFFF"/>
              </w:rPr>
            </w:pPr>
            <w:r w:rsidRPr="008016F6">
              <w:rPr>
                <w:sz w:val="22"/>
                <w:szCs w:val="22"/>
                <w:shd w:val="clear" w:color="auto" w:fill="FFFFFF"/>
              </w:rPr>
              <w:t xml:space="preserve">- </w:t>
            </w:r>
            <w:r w:rsidR="00E22021" w:rsidRPr="008016F6">
              <w:rPr>
                <w:sz w:val="22"/>
                <w:szCs w:val="22"/>
                <w:shd w:val="clear" w:color="auto" w:fill="FFFFFF"/>
              </w:rPr>
              <w:t>Báo và Phát thanh, truyền hình Đồng Nai (đưa tin và đăng tải trên cổng thông tin điện tử);</w:t>
            </w:r>
          </w:p>
          <w:p w14:paraId="4562CBD0" w14:textId="7891B9DE" w:rsidR="0024232C" w:rsidRPr="008016F6" w:rsidRDefault="0024232C" w:rsidP="001C75C7">
            <w:pPr>
              <w:tabs>
                <w:tab w:val="center" w:pos="4320"/>
                <w:tab w:val="right" w:pos="8640"/>
              </w:tabs>
              <w:jc w:val="both"/>
              <w:rPr>
                <w:sz w:val="22"/>
                <w:szCs w:val="22"/>
                <w:shd w:val="clear" w:color="auto" w:fill="FFFFFF"/>
              </w:rPr>
            </w:pPr>
            <w:r w:rsidRPr="008016F6">
              <w:rPr>
                <w:sz w:val="22"/>
                <w:szCs w:val="22"/>
                <w:shd w:val="clear" w:color="auto" w:fill="FFFFFF"/>
              </w:rPr>
              <w:t>- Công báo điện tử tỉnh;</w:t>
            </w:r>
          </w:p>
          <w:p w14:paraId="1EB1E1C7" w14:textId="50CF04A5" w:rsidR="0024232C" w:rsidRPr="008016F6" w:rsidRDefault="0024232C" w:rsidP="001C75C7">
            <w:pPr>
              <w:tabs>
                <w:tab w:val="center" w:pos="4320"/>
                <w:tab w:val="right" w:pos="8640"/>
              </w:tabs>
              <w:jc w:val="both"/>
              <w:rPr>
                <w:sz w:val="22"/>
                <w:szCs w:val="22"/>
                <w:shd w:val="clear" w:color="auto" w:fill="FFFFFF"/>
              </w:rPr>
            </w:pPr>
            <w:r w:rsidRPr="008016F6">
              <w:rPr>
                <w:sz w:val="22"/>
                <w:szCs w:val="22"/>
                <w:shd w:val="clear" w:color="auto" w:fill="FFFFFF"/>
              </w:rPr>
              <w:t>- Lưu: VT; PCTHĐ</w:t>
            </w:r>
          </w:p>
          <w:p w14:paraId="47E051C1" w14:textId="535A5036" w:rsidR="00E22021" w:rsidRPr="008016F6" w:rsidRDefault="00E22021" w:rsidP="001C75C7">
            <w:pPr>
              <w:tabs>
                <w:tab w:val="center" w:pos="4320"/>
                <w:tab w:val="right" w:pos="8640"/>
              </w:tabs>
              <w:jc w:val="both"/>
              <w:rPr>
                <w:b/>
                <w:iCs/>
                <w:sz w:val="28"/>
                <w:szCs w:val="28"/>
              </w:rPr>
            </w:pPr>
          </w:p>
        </w:tc>
        <w:tc>
          <w:tcPr>
            <w:tcW w:w="4678" w:type="dxa"/>
          </w:tcPr>
          <w:p w14:paraId="03AD46AA" w14:textId="77777777" w:rsidR="00295E5E" w:rsidRPr="008016F6" w:rsidRDefault="00295E5E" w:rsidP="001C75C7">
            <w:pPr>
              <w:tabs>
                <w:tab w:val="right" w:pos="8640"/>
              </w:tabs>
              <w:jc w:val="center"/>
              <w:rPr>
                <w:b/>
                <w:sz w:val="28"/>
                <w:szCs w:val="28"/>
                <w:lang w:val="vi-VN"/>
              </w:rPr>
            </w:pPr>
            <w:r w:rsidRPr="008016F6">
              <w:rPr>
                <w:b/>
                <w:sz w:val="28"/>
                <w:szCs w:val="28"/>
                <w:lang w:val="vi-VN"/>
              </w:rPr>
              <w:t>CHỦ TỊCH</w:t>
            </w:r>
            <w:r w:rsidRPr="008016F6">
              <w:rPr>
                <w:sz w:val="28"/>
                <w:szCs w:val="28"/>
                <w:lang w:val="vi-VN"/>
              </w:rPr>
              <w:br/>
            </w:r>
          </w:p>
          <w:p w14:paraId="297C8A4D" w14:textId="77777777" w:rsidR="00295E5E" w:rsidRPr="008016F6" w:rsidRDefault="00295E5E" w:rsidP="001C75C7">
            <w:pPr>
              <w:tabs>
                <w:tab w:val="center" w:pos="4320"/>
                <w:tab w:val="right" w:pos="8640"/>
              </w:tabs>
              <w:jc w:val="center"/>
              <w:rPr>
                <w:sz w:val="28"/>
                <w:szCs w:val="28"/>
                <w:lang w:val="vi-VN"/>
              </w:rPr>
            </w:pPr>
          </w:p>
          <w:p w14:paraId="29D27BB3" w14:textId="77777777" w:rsidR="00295E5E" w:rsidRPr="008016F6" w:rsidRDefault="00295E5E" w:rsidP="001C75C7">
            <w:pPr>
              <w:tabs>
                <w:tab w:val="left" w:pos="2175"/>
              </w:tabs>
              <w:jc w:val="center"/>
              <w:rPr>
                <w:sz w:val="28"/>
                <w:szCs w:val="28"/>
                <w:lang w:val="vi-VN"/>
              </w:rPr>
            </w:pPr>
          </w:p>
          <w:p w14:paraId="0AE03FB2" w14:textId="77777777" w:rsidR="0040720C" w:rsidRPr="008016F6" w:rsidRDefault="0040720C" w:rsidP="001C75C7">
            <w:pPr>
              <w:tabs>
                <w:tab w:val="left" w:pos="2175"/>
              </w:tabs>
              <w:jc w:val="center"/>
              <w:rPr>
                <w:sz w:val="28"/>
                <w:szCs w:val="28"/>
                <w:lang w:val="en-GB"/>
              </w:rPr>
            </w:pPr>
          </w:p>
          <w:p w14:paraId="57F855F2" w14:textId="77777777" w:rsidR="00D12101" w:rsidRPr="008016F6" w:rsidRDefault="00D12101" w:rsidP="001C75C7">
            <w:pPr>
              <w:tabs>
                <w:tab w:val="left" w:pos="2175"/>
              </w:tabs>
              <w:jc w:val="center"/>
              <w:rPr>
                <w:sz w:val="28"/>
                <w:szCs w:val="28"/>
                <w:lang w:val="en-GB"/>
              </w:rPr>
            </w:pPr>
          </w:p>
          <w:p w14:paraId="6D060D49" w14:textId="77777777" w:rsidR="00295E5E" w:rsidRPr="008016F6" w:rsidRDefault="00295E5E" w:rsidP="001C75C7">
            <w:pPr>
              <w:tabs>
                <w:tab w:val="left" w:pos="1838"/>
              </w:tabs>
              <w:jc w:val="center"/>
              <w:rPr>
                <w:b/>
                <w:sz w:val="28"/>
                <w:szCs w:val="28"/>
                <w:lang w:val="en-GB"/>
              </w:rPr>
            </w:pPr>
          </w:p>
        </w:tc>
      </w:tr>
    </w:tbl>
    <w:p w14:paraId="44F94E33" w14:textId="77777777" w:rsidR="00283474" w:rsidRPr="008016F6" w:rsidRDefault="00283474" w:rsidP="006B017F">
      <w:pPr>
        <w:spacing w:before="120" w:after="120"/>
        <w:rPr>
          <w:sz w:val="28"/>
          <w:szCs w:val="28"/>
        </w:rPr>
      </w:pPr>
    </w:p>
    <w:sectPr w:rsidR="00283474" w:rsidRPr="008016F6" w:rsidSect="00800066">
      <w:headerReference w:type="default" r:id="rId8"/>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C3B1" w14:textId="77777777" w:rsidR="00DC53F9" w:rsidRDefault="00DC53F9" w:rsidP="009D234A">
      <w:r>
        <w:separator/>
      </w:r>
    </w:p>
  </w:endnote>
  <w:endnote w:type="continuationSeparator" w:id="0">
    <w:p w14:paraId="53C6D563" w14:textId="77777777" w:rsidR="00DC53F9" w:rsidRDefault="00DC53F9" w:rsidP="009D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9204" w14:textId="77777777" w:rsidR="00DC53F9" w:rsidRDefault="00DC53F9" w:rsidP="009D234A">
      <w:r>
        <w:separator/>
      </w:r>
    </w:p>
  </w:footnote>
  <w:footnote w:type="continuationSeparator" w:id="0">
    <w:p w14:paraId="22233AD2" w14:textId="77777777" w:rsidR="00DC53F9" w:rsidRDefault="00DC53F9" w:rsidP="009D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0498" w14:textId="77777777" w:rsidR="002D78F1" w:rsidRDefault="002D78F1">
    <w:pPr>
      <w:pStyle w:val="Header"/>
      <w:jc w:val="center"/>
    </w:pPr>
    <w:r>
      <w:fldChar w:fldCharType="begin"/>
    </w:r>
    <w:r>
      <w:instrText xml:space="preserve"> PAGE   \* MERGEFORMAT </w:instrText>
    </w:r>
    <w:r>
      <w:fldChar w:fldCharType="separate"/>
    </w:r>
    <w:r w:rsidR="00622B94">
      <w:rPr>
        <w:noProof/>
      </w:rPr>
      <w:t>3</w:t>
    </w:r>
    <w:r>
      <w:rPr>
        <w:noProof/>
      </w:rPr>
      <w:fldChar w:fldCharType="end"/>
    </w:r>
  </w:p>
  <w:p w14:paraId="3CA4259E" w14:textId="77777777" w:rsidR="002D78F1" w:rsidRDefault="002D7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7B"/>
    <w:rsid w:val="000018C2"/>
    <w:rsid w:val="00001C4C"/>
    <w:rsid w:val="00002CD3"/>
    <w:rsid w:val="00007B59"/>
    <w:rsid w:val="00010EC1"/>
    <w:rsid w:val="00014426"/>
    <w:rsid w:val="000160B0"/>
    <w:rsid w:val="00017286"/>
    <w:rsid w:val="00030252"/>
    <w:rsid w:val="00031585"/>
    <w:rsid w:val="000409A7"/>
    <w:rsid w:val="000413CA"/>
    <w:rsid w:val="00042794"/>
    <w:rsid w:val="000657DF"/>
    <w:rsid w:val="000712FF"/>
    <w:rsid w:val="00071797"/>
    <w:rsid w:val="00073062"/>
    <w:rsid w:val="00080278"/>
    <w:rsid w:val="00094738"/>
    <w:rsid w:val="000A2D37"/>
    <w:rsid w:val="000A3D41"/>
    <w:rsid w:val="000B2884"/>
    <w:rsid w:val="000B5690"/>
    <w:rsid w:val="000C1DB6"/>
    <w:rsid w:val="000C3432"/>
    <w:rsid w:val="000C5386"/>
    <w:rsid w:val="000D5FB7"/>
    <w:rsid w:val="000E2FF0"/>
    <w:rsid w:val="000E5554"/>
    <w:rsid w:val="000F46D9"/>
    <w:rsid w:val="0010171F"/>
    <w:rsid w:val="00104E5D"/>
    <w:rsid w:val="00113BEA"/>
    <w:rsid w:val="001175EF"/>
    <w:rsid w:val="0012064C"/>
    <w:rsid w:val="00123E5A"/>
    <w:rsid w:val="001266D3"/>
    <w:rsid w:val="00130974"/>
    <w:rsid w:val="00132B06"/>
    <w:rsid w:val="00133F43"/>
    <w:rsid w:val="00135FA0"/>
    <w:rsid w:val="00147080"/>
    <w:rsid w:val="00154470"/>
    <w:rsid w:val="001550D1"/>
    <w:rsid w:val="0015641D"/>
    <w:rsid w:val="001637BC"/>
    <w:rsid w:val="001646A2"/>
    <w:rsid w:val="001649A0"/>
    <w:rsid w:val="00191549"/>
    <w:rsid w:val="001A42F1"/>
    <w:rsid w:val="001B30B7"/>
    <w:rsid w:val="001B5CA6"/>
    <w:rsid w:val="001B7CB9"/>
    <w:rsid w:val="001C0728"/>
    <w:rsid w:val="001C75C7"/>
    <w:rsid w:val="001D62BF"/>
    <w:rsid w:val="001E11F9"/>
    <w:rsid w:val="001F0C48"/>
    <w:rsid w:val="001F6A41"/>
    <w:rsid w:val="001F726F"/>
    <w:rsid w:val="002050D1"/>
    <w:rsid w:val="0021524E"/>
    <w:rsid w:val="00221D16"/>
    <w:rsid w:val="0023383D"/>
    <w:rsid w:val="00240DC2"/>
    <w:rsid w:val="0024132E"/>
    <w:rsid w:val="0024232C"/>
    <w:rsid w:val="002453F8"/>
    <w:rsid w:val="00245636"/>
    <w:rsid w:val="00250C51"/>
    <w:rsid w:val="0025447B"/>
    <w:rsid w:val="002547DD"/>
    <w:rsid w:val="002579C3"/>
    <w:rsid w:val="00257CDC"/>
    <w:rsid w:val="00266171"/>
    <w:rsid w:val="00272471"/>
    <w:rsid w:val="00273896"/>
    <w:rsid w:val="002744A0"/>
    <w:rsid w:val="00283474"/>
    <w:rsid w:val="00283B94"/>
    <w:rsid w:val="0028631C"/>
    <w:rsid w:val="00286B3A"/>
    <w:rsid w:val="00286DF4"/>
    <w:rsid w:val="002901FB"/>
    <w:rsid w:val="00295E5E"/>
    <w:rsid w:val="002A087C"/>
    <w:rsid w:val="002B23E6"/>
    <w:rsid w:val="002B3B37"/>
    <w:rsid w:val="002B4341"/>
    <w:rsid w:val="002C1C3F"/>
    <w:rsid w:val="002D4DFE"/>
    <w:rsid w:val="002D78F1"/>
    <w:rsid w:val="002E08FA"/>
    <w:rsid w:val="002E3E53"/>
    <w:rsid w:val="00301511"/>
    <w:rsid w:val="00302F35"/>
    <w:rsid w:val="0031437D"/>
    <w:rsid w:val="00315599"/>
    <w:rsid w:val="00323455"/>
    <w:rsid w:val="00337CD0"/>
    <w:rsid w:val="00350D98"/>
    <w:rsid w:val="003530D8"/>
    <w:rsid w:val="003538A5"/>
    <w:rsid w:val="00364813"/>
    <w:rsid w:val="00370A12"/>
    <w:rsid w:val="003754D5"/>
    <w:rsid w:val="00376966"/>
    <w:rsid w:val="003772F1"/>
    <w:rsid w:val="003A0DE3"/>
    <w:rsid w:val="003A733B"/>
    <w:rsid w:val="003B3F82"/>
    <w:rsid w:val="003D6370"/>
    <w:rsid w:val="003E291E"/>
    <w:rsid w:val="003F1CA3"/>
    <w:rsid w:val="003F4BD8"/>
    <w:rsid w:val="004030E4"/>
    <w:rsid w:val="0040720C"/>
    <w:rsid w:val="00417A0E"/>
    <w:rsid w:val="00417D59"/>
    <w:rsid w:val="00417F61"/>
    <w:rsid w:val="00424AD4"/>
    <w:rsid w:val="00427751"/>
    <w:rsid w:val="00441CC2"/>
    <w:rsid w:val="004458DC"/>
    <w:rsid w:val="00467D94"/>
    <w:rsid w:val="004721AC"/>
    <w:rsid w:val="0047366C"/>
    <w:rsid w:val="00475FA7"/>
    <w:rsid w:val="00481155"/>
    <w:rsid w:val="0048292B"/>
    <w:rsid w:val="004901E7"/>
    <w:rsid w:val="00497536"/>
    <w:rsid w:val="004B3208"/>
    <w:rsid w:val="004B3313"/>
    <w:rsid w:val="004B6413"/>
    <w:rsid w:val="004B7BFC"/>
    <w:rsid w:val="004C50B9"/>
    <w:rsid w:val="004D3C81"/>
    <w:rsid w:val="004E6E07"/>
    <w:rsid w:val="004F1926"/>
    <w:rsid w:val="004F3DCD"/>
    <w:rsid w:val="0050067B"/>
    <w:rsid w:val="0050081F"/>
    <w:rsid w:val="0050233C"/>
    <w:rsid w:val="0050328E"/>
    <w:rsid w:val="0050610F"/>
    <w:rsid w:val="00512823"/>
    <w:rsid w:val="00514DB2"/>
    <w:rsid w:val="00520DDF"/>
    <w:rsid w:val="00526CBC"/>
    <w:rsid w:val="00537AA1"/>
    <w:rsid w:val="005436BE"/>
    <w:rsid w:val="0055570B"/>
    <w:rsid w:val="00560B66"/>
    <w:rsid w:val="00563890"/>
    <w:rsid w:val="005638C0"/>
    <w:rsid w:val="00564A8B"/>
    <w:rsid w:val="005677A5"/>
    <w:rsid w:val="00567F94"/>
    <w:rsid w:val="0057010F"/>
    <w:rsid w:val="0057245F"/>
    <w:rsid w:val="00582967"/>
    <w:rsid w:val="00584C53"/>
    <w:rsid w:val="0058522D"/>
    <w:rsid w:val="00585367"/>
    <w:rsid w:val="00587FAE"/>
    <w:rsid w:val="00597452"/>
    <w:rsid w:val="005A3860"/>
    <w:rsid w:val="005A7045"/>
    <w:rsid w:val="005B31B3"/>
    <w:rsid w:val="005B4818"/>
    <w:rsid w:val="005B4B03"/>
    <w:rsid w:val="005C5B4C"/>
    <w:rsid w:val="005D092A"/>
    <w:rsid w:val="005E1EF8"/>
    <w:rsid w:val="005E2140"/>
    <w:rsid w:val="005F2AF3"/>
    <w:rsid w:val="005F6AF8"/>
    <w:rsid w:val="00605F48"/>
    <w:rsid w:val="0061166E"/>
    <w:rsid w:val="00622B94"/>
    <w:rsid w:val="00636E8C"/>
    <w:rsid w:val="00640199"/>
    <w:rsid w:val="006514A2"/>
    <w:rsid w:val="00655068"/>
    <w:rsid w:val="00656AB8"/>
    <w:rsid w:val="006610B5"/>
    <w:rsid w:val="00670999"/>
    <w:rsid w:val="00672574"/>
    <w:rsid w:val="006755ED"/>
    <w:rsid w:val="00684596"/>
    <w:rsid w:val="00684C41"/>
    <w:rsid w:val="00692497"/>
    <w:rsid w:val="00696E31"/>
    <w:rsid w:val="006A60E5"/>
    <w:rsid w:val="006B017F"/>
    <w:rsid w:val="006B0531"/>
    <w:rsid w:val="006B23E1"/>
    <w:rsid w:val="006B53A3"/>
    <w:rsid w:val="006B5F2E"/>
    <w:rsid w:val="006C2610"/>
    <w:rsid w:val="006C6B6F"/>
    <w:rsid w:val="006D3072"/>
    <w:rsid w:val="006D4FED"/>
    <w:rsid w:val="006E0DC5"/>
    <w:rsid w:val="006F112C"/>
    <w:rsid w:val="006F14CD"/>
    <w:rsid w:val="006F17E6"/>
    <w:rsid w:val="006F46B5"/>
    <w:rsid w:val="006F4904"/>
    <w:rsid w:val="006F4BA9"/>
    <w:rsid w:val="007035FF"/>
    <w:rsid w:val="00704C58"/>
    <w:rsid w:val="00725221"/>
    <w:rsid w:val="007329F9"/>
    <w:rsid w:val="00735568"/>
    <w:rsid w:val="00741514"/>
    <w:rsid w:val="007522D8"/>
    <w:rsid w:val="007529BB"/>
    <w:rsid w:val="0075779F"/>
    <w:rsid w:val="00757DB1"/>
    <w:rsid w:val="00771072"/>
    <w:rsid w:val="00773EDF"/>
    <w:rsid w:val="007755EB"/>
    <w:rsid w:val="00775878"/>
    <w:rsid w:val="00777E11"/>
    <w:rsid w:val="00781900"/>
    <w:rsid w:val="00784B2C"/>
    <w:rsid w:val="00795DED"/>
    <w:rsid w:val="00796F35"/>
    <w:rsid w:val="007A31E1"/>
    <w:rsid w:val="007A44E8"/>
    <w:rsid w:val="007A6D0C"/>
    <w:rsid w:val="007B1794"/>
    <w:rsid w:val="007B19AD"/>
    <w:rsid w:val="007B61AD"/>
    <w:rsid w:val="007C1EFC"/>
    <w:rsid w:val="007C2B65"/>
    <w:rsid w:val="007E28C9"/>
    <w:rsid w:val="007F7EB9"/>
    <w:rsid w:val="00800066"/>
    <w:rsid w:val="008016F6"/>
    <w:rsid w:val="00805100"/>
    <w:rsid w:val="00807C39"/>
    <w:rsid w:val="0081492E"/>
    <w:rsid w:val="00823DBB"/>
    <w:rsid w:val="0082419A"/>
    <w:rsid w:val="00831BC8"/>
    <w:rsid w:val="008341A2"/>
    <w:rsid w:val="008403EF"/>
    <w:rsid w:val="0084245F"/>
    <w:rsid w:val="00842C82"/>
    <w:rsid w:val="008450DD"/>
    <w:rsid w:val="008508B1"/>
    <w:rsid w:val="008532EF"/>
    <w:rsid w:val="00855BEA"/>
    <w:rsid w:val="00863AE2"/>
    <w:rsid w:val="0086542E"/>
    <w:rsid w:val="0087694B"/>
    <w:rsid w:val="00881975"/>
    <w:rsid w:val="00882754"/>
    <w:rsid w:val="00892B10"/>
    <w:rsid w:val="008935A0"/>
    <w:rsid w:val="008944A2"/>
    <w:rsid w:val="008965B7"/>
    <w:rsid w:val="008A4B9E"/>
    <w:rsid w:val="008A4C13"/>
    <w:rsid w:val="008A7C61"/>
    <w:rsid w:val="008B3F56"/>
    <w:rsid w:val="008B50FF"/>
    <w:rsid w:val="008B510F"/>
    <w:rsid w:val="008D2259"/>
    <w:rsid w:val="008E3A72"/>
    <w:rsid w:val="008E5C65"/>
    <w:rsid w:val="008E6197"/>
    <w:rsid w:val="008F2CA5"/>
    <w:rsid w:val="008F6FF9"/>
    <w:rsid w:val="009059E2"/>
    <w:rsid w:val="00906AB4"/>
    <w:rsid w:val="00924BD9"/>
    <w:rsid w:val="0093347D"/>
    <w:rsid w:val="00943A18"/>
    <w:rsid w:val="009518AC"/>
    <w:rsid w:val="009524A7"/>
    <w:rsid w:val="00956B0C"/>
    <w:rsid w:val="009576A8"/>
    <w:rsid w:val="009730D5"/>
    <w:rsid w:val="0097789E"/>
    <w:rsid w:val="00984531"/>
    <w:rsid w:val="009911F2"/>
    <w:rsid w:val="00991938"/>
    <w:rsid w:val="009927F0"/>
    <w:rsid w:val="009930D8"/>
    <w:rsid w:val="00994B36"/>
    <w:rsid w:val="00995979"/>
    <w:rsid w:val="00997DE3"/>
    <w:rsid w:val="009B3442"/>
    <w:rsid w:val="009B3EDF"/>
    <w:rsid w:val="009D234A"/>
    <w:rsid w:val="009D3E55"/>
    <w:rsid w:val="009D5812"/>
    <w:rsid w:val="009E0263"/>
    <w:rsid w:val="009E2A17"/>
    <w:rsid w:val="009E5338"/>
    <w:rsid w:val="009E6B41"/>
    <w:rsid w:val="009F32C4"/>
    <w:rsid w:val="009F6104"/>
    <w:rsid w:val="00A0208D"/>
    <w:rsid w:val="00A03B5B"/>
    <w:rsid w:val="00A07855"/>
    <w:rsid w:val="00A10284"/>
    <w:rsid w:val="00A175BC"/>
    <w:rsid w:val="00A2063B"/>
    <w:rsid w:val="00A23AB4"/>
    <w:rsid w:val="00A270BD"/>
    <w:rsid w:val="00A270D5"/>
    <w:rsid w:val="00A34E06"/>
    <w:rsid w:val="00A42D98"/>
    <w:rsid w:val="00A43AF9"/>
    <w:rsid w:val="00A46805"/>
    <w:rsid w:val="00A478AD"/>
    <w:rsid w:val="00A51B3E"/>
    <w:rsid w:val="00A51C83"/>
    <w:rsid w:val="00A51EB0"/>
    <w:rsid w:val="00A60753"/>
    <w:rsid w:val="00A6082B"/>
    <w:rsid w:val="00A64ED8"/>
    <w:rsid w:val="00A65B07"/>
    <w:rsid w:val="00A74980"/>
    <w:rsid w:val="00A74DDC"/>
    <w:rsid w:val="00A76534"/>
    <w:rsid w:val="00A7715A"/>
    <w:rsid w:val="00A80942"/>
    <w:rsid w:val="00A80C8A"/>
    <w:rsid w:val="00A93F23"/>
    <w:rsid w:val="00A951B8"/>
    <w:rsid w:val="00A964E9"/>
    <w:rsid w:val="00A97F0A"/>
    <w:rsid w:val="00AC0139"/>
    <w:rsid w:val="00AC11F7"/>
    <w:rsid w:val="00AC20E3"/>
    <w:rsid w:val="00AC40E4"/>
    <w:rsid w:val="00AD2F83"/>
    <w:rsid w:val="00AD37BC"/>
    <w:rsid w:val="00AD473D"/>
    <w:rsid w:val="00AE2464"/>
    <w:rsid w:val="00AE3C3B"/>
    <w:rsid w:val="00AE4489"/>
    <w:rsid w:val="00AE46F2"/>
    <w:rsid w:val="00AF5AF5"/>
    <w:rsid w:val="00B0188A"/>
    <w:rsid w:val="00B07CF0"/>
    <w:rsid w:val="00B11218"/>
    <w:rsid w:val="00B13074"/>
    <w:rsid w:val="00B14BF9"/>
    <w:rsid w:val="00B21C20"/>
    <w:rsid w:val="00B26FF4"/>
    <w:rsid w:val="00B33905"/>
    <w:rsid w:val="00B34577"/>
    <w:rsid w:val="00B34DA2"/>
    <w:rsid w:val="00B40010"/>
    <w:rsid w:val="00B40B2C"/>
    <w:rsid w:val="00B57A8E"/>
    <w:rsid w:val="00B610F4"/>
    <w:rsid w:val="00B64657"/>
    <w:rsid w:val="00B70BC7"/>
    <w:rsid w:val="00B7587B"/>
    <w:rsid w:val="00B75CE6"/>
    <w:rsid w:val="00B8174A"/>
    <w:rsid w:val="00B828E5"/>
    <w:rsid w:val="00B84E02"/>
    <w:rsid w:val="00B940CF"/>
    <w:rsid w:val="00B96E07"/>
    <w:rsid w:val="00B97815"/>
    <w:rsid w:val="00BA40D9"/>
    <w:rsid w:val="00BB0054"/>
    <w:rsid w:val="00BB39A3"/>
    <w:rsid w:val="00BB4BC3"/>
    <w:rsid w:val="00BB7534"/>
    <w:rsid w:val="00BB78C7"/>
    <w:rsid w:val="00BC18B4"/>
    <w:rsid w:val="00BC4399"/>
    <w:rsid w:val="00BD34BF"/>
    <w:rsid w:val="00BD59C4"/>
    <w:rsid w:val="00BD7489"/>
    <w:rsid w:val="00BE3DE0"/>
    <w:rsid w:val="00BE5581"/>
    <w:rsid w:val="00BE5C9C"/>
    <w:rsid w:val="00BF15F7"/>
    <w:rsid w:val="00C12003"/>
    <w:rsid w:val="00C13284"/>
    <w:rsid w:val="00C20680"/>
    <w:rsid w:val="00C20A63"/>
    <w:rsid w:val="00C3167E"/>
    <w:rsid w:val="00C327A4"/>
    <w:rsid w:val="00C418E8"/>
    <w:rsid w:val="00C42038"/>
    <w:rsid w:val="00C4486C"/>
    <w:rsid w:val="00C4499A"/>
    <w:rsid w:val="00C47BE6"/>
    <w:rsid w:val="00C50A2F"/>
    <w:rsid w:val="00C55C37"/>
    <w:rsid w:val="00C656A2"/>
    <w:rsid w:val="00C706B3"/>
    <w:rsid w:val="00C81397"/>
    <w:rsid w:val="00C91E70"/>
    <w:rsid w:val="00C92261"/>
    <w:rsid w:val="00CA6DD3"/>
    <w:rsid w:val="00CB1034"/>
    <w:rsid w:val="00CB3352"/>
    <w:rsid w:val="00CD10E8"/>
    <w:rsid w:val="00CE32BB"/>
    <w:rsid w:val="00CF6482"/>
    <w:rsid w:val="00CF736C"/>
    <w:rsid w:val="00D12101"/>
    <w:rsid w:val="00D1367B"/>
    <w:rsid w:val="00D306AD"/>
    <w:rsid w:val="00D410F3"/>
    <w:rsid w:val="00D45BBF"/>
    <w:rsid w:val="00D56B89"/>
    <w:rsid w:val="00D64ED3"/>
    <w:rsid w:val="00D71D0E"/>
    <w:rsid w:val="00D71F39"/>
    <w:rsid w:val="00D74381"/>
    <w:rsid w:val="00D77BF5"/>
    <w:rsid w:val="00D801DF"/>
    <w:rsid w:val="00D80AD7"/>
    <w:rsid w:val="00D84E45"/>
    <w:rsid w:val="00D94BE9"/>
    <w:rsid w:val="00D97E42"/>
    <w:rsid w:val="00DB50D0"/>
    <w:rsid w:val="00DB618D"/>
    <w:rsid w:val="00DB7397"/>
    <w:rsid w:val="00DC53F9"/>
    <w:rsid w:val="00DC5F05"/>
    <w:rsid w:val="00DD33A0"/>
    <w:rsid w:val="00DD4916"/>
    <w:rsid w:val="00DE030B"/>
    <w:rsid w:val="00DE12E2"/>
    <w:rsid w:val="00DE39DF"/>
    <w:rsid w:val="00DE5250"/>
    <w:rsid w:val="00DF008E"/>
    <w:rsid w:val="00DF0219"/>
    <w:rsid w:val="00DF0514"/>
    <w:rsid w:val="00DF23E1"/>
    <w:rsid w:val="00DF2529"/>
    <w:rsid w:val="00E11850"/>
    <w:rsid w:val="00E11BFE"/>
    <w:rsid w:val="00E13321"/>
    <w:rsid w:val="00E1615D"/>
    <w:rsid w:val="00E22021"/>
    <w:rsid w:val="00E24922"/>
    <w:rsid w:val="00E37002"/>
    <w:rsid w:val="00E413BC"/>
    <w:rsid w:val="00E45DAE"/>
    <w:rsid w:val="00E50BAD"/>
    <w:rsid w:val="00E51743"/>
    <w:rsid w:val="00E51ECC"/>
    <w:rsid w:val="00E55310"/>
    <w:rsid w:val="00E608BD"/>
    <w:rsid w:val="00E705C7"/>
    <w:rsid w:val="00E8196F"/>
    <w:rsid w:val="00E82BBA"/>
    <w:rsid w:val="00E85D92"/>
    <w:rsid w:val="00E863E5"/>
    <w:rsid w:val="00E97640"/>
    <w:rsid w:val="00EA2872"/>
    <w:rsid w:val="00EB13C0"/>
    <w:rsid w:val="00EB7CA8"/>
    <w:rsid w:val="00EC1CA3"/>
    <w:rsid w:val="00EC42C1"/>
    <w:rsid w:val="00EC4997"/>
    <w:rsid w:val="00EC7E7D"/>
    <w:rsid w:val="00ED5979"/>
    <w:rsid w:val="00ED6997"/>
    <w:rsid w:val="00EE0AF8"/>
    <w:rsid w:val="00EE195F"/>
    <w:rsid w:val="00EE6066"/>
    <w:rsid w:val="00EF48A4"/>
    <w:rsid w:val="00F0649F"/>
    <w:rsid w:val="00F152F6"/>
    <w:rsid w:val="00F2150C"/>
    <w:rsid w:val="00F249A4"/>
    <w:rsid w:val="00F50EF2"/>
    <w:rsid w:val="00F54E30"/>
    <w:rsid w:val="00F56226"/>
    <w:rsid w:val="00F65286"/>
    <w:rsid w:val="00F65DC3"/>
    <w:rsid w:val="00F75D05"/>
    <w:rsid w:val="00F82F39"/>
    <w:rsid w:val="00F83E7C"/>
    <w:rsid w:val="00FA088D"/>
    <w:rsid w:val="00FA351B"/>
    <w:rsid w:val="00FB7BB3"/>
    <w:rsid w:val="00FC66A6"/>
    <w:rsid w:val="00FD04FA"/>
    <w:rsid w:val="00FD687C"/>
    <w:rsid w:val="00FD775D"/>
    <w:rsid w:val="00FE61A4"/>
    <w:rsid w:val="00FF353E"/>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83E0"/>
  <w15:docId w15:val="{440BCC28-8D5F-48C7-B505-6BA3C71E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7B"/>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
    <w:name w:val="ND"/>
    <w:basedOn w:val="Normal"/>
    <w:rsid w:val="007B1794"/>
    <w:pPr>
      <w:spacing w:before="60" w:after="60"/>
      <w:ind w:firstLine="709"/>
      <w:jc w:val="both"/>
    </w:pPr>
    <w:rPr>
      <w:sz w:val="28"/>
    </w:rPr>
  </w:style>
  <w:style w:type="paragraph" w:customStyle="1" w:styleId="Char">
    <w:name w:val="Char"/>
    <w:basedOn w:val="Normal"/>
    <w:semiHidden/>
    <w:rsid w:val="004901E7"/>
    <w:pPr>
      <w:spacing w:after="160" w:line="240" w:lineRule="exact"/>
    </w:pPr>
    <w:rPr>
      <w:rFonts w:ascii="Arial" w:hAnsi="Arial"/>
      <w:sz w:val="22"/>
      <w:szCs w:val="22"/>
    </w:rPr>
  </w:style>
  <w:style w:type="paragraph" w:customStyle="1" w:styleId="Char0">
    <w:name w:val="Char"/>
    <w:basedOn w:val="Normal"/>
    <w:semiHidden/>
    <w:rsid w:val="000D5FB7"/>
    <w:pPr>
      <w:spacing w:after="160" w:line="240" w:lineRule="exact"/>
    </w:pPr>
    <w:rPr>
      <w:rFonts w:ascii="Arial" w:hAnsi="Arial"/>
      <w:sz w:val="22"/>
      <w:szCs w:val="22"/>
    </w:rPr>
  </w:style>
  <w:style w:type="paragraph" w:styleId="Header">
    <w:name w:val="header"/>
    <w:basedOn w:val="Normal"/>
    <w:link w:val="HeaderChar"/>
    <w:uiPriority w:val="99"/>
    <w:unhideWhenUsed/>
    <w:rsid w:val="009D234A"/>
    <w:pPr>
      <w:tabs>
        <w:tab w:val="center" w:pos="4513"/>
        <w:tab w:val="right" w:pos="9026"/>
      </w:tabs>
    </w:pPr>
  </w:style>
  <w:style w:type="character" w:customStyle="1" w:styleId="HeaderChar">
    <w:name w:val="Header Char"/>
    <w:link w:val="Header"/>
    <w:uiPriority w:val="99"/>
    <w:rsid w:val="009D234A"/>
    <w:rPr>
      <w:rFonts w:eastAsia="Times New Roman" w:cs="Times New Roman"/>
      <w:sz w:val="26"/>
      <w:szCs w:val="26"/>
      <w:lang w:val="en-US"/>
    </w:rPr>
  </w:style>
  <w:style w:type="paragraph" w:styleId="Footer">
    <w:name w:val="footer"/>
    <w:basedOn w:val="Normal"/>
    <w:link w:val="FooterChar"/>
    <w:uiPriority w:val="99"/>
    <w:unhideWhenUsed/>
    <w:rsid w:val="009D234A"/>
    <w:pPr>
      <w:tabs>
        <w:tab w:val="center" w:pos="4513"/>
        <w:tab w:val="right" w:pos="9026"/>
      </w:tabs>
    </w:pPr>
  </w:style>
  <w:style w:type="character" w:customStyle="1" w:styleId="FooterChar">
    <w:name w:val="Footer Char"/>
    <w:link w:val="Footer"/>
    <w:uiPriority w:val="99"/>
    <w:rsid w:val="009D234A"/>
    <w:rPr>
      <w:rFonts w:eastAsia="Times New Roman" w:cs="Times New Roman"/>
      <w:sz w:val="26"/>
      <w:szCs w:val="26"/>
      <w:lang w:val="en-US"/>
    </w:rPr>
  </w:style>
  <w:style w:type="paragraph" w:styleId="NormalWeb">
    <w:name w:val="Normal (Web)"/>
    <w:basedOn w:val="Normal"/>
    <w:uiPriority w:val="99"/>
    <w:semiHidden/>
    <w:unhideWhenUsed/>
    <w:rsid w:val="008450DD"/>
    <w:pPr>
      <w:spacing w:before="100" w:beforeAutospacing="1" w:after="100" w:afterAutospacing="1"/>
    </w:pPr>
    <w:rPr>
      <w:sz w:val="24"/>
      <w:szCs w:val="24"/>
      <w:lang w:val="vi-VN" w:eastAsia="vi-VN"/>
    </w:rPr>
  </w:style>
  <w:style w:type="character" w:styleId="Strong">
    <w:name w:val="Strong"/>
    <w:uiPriority w:val="22"/>
    <w:qFormat/>
    <w:rsid w:val="008450DD"/>
    <w:rPr>
      <w:b/>
      <w:bCs/>
    </w:rPr>
  </w:style>
  <w:style w:type="character" w:customStyle="1" w:styleId="normalChar">
    <w:name w:val="normal Char"/>
    <w:link w:val="Normal1"/>
    <w:locked/>
    <w:rsid w:val="004F1926"/>
    <w:rPr>
      <w:rFonts w:ascii="PMingLiU" w:eastAsia="PMingLiU" w:hAnsi="PMingLiU"/>
      <w:szCs w:val="24"/>
      <w:lang w:val="it-IT"/>
    </w:rPr>
  </w:style>
  <w:style w:type="paragraph" w:customStyle="1" w:styleId="Normal1">
    <w:name w:val="Normal1"/>
    <w:basedOn w:val="Normal"/>
    <w:link w:val="normalChar"/>
    <w:rsid w:val="004F1926"/>
    <w:pPr>
      <w:tabs>
        <w:tab w:val="left" w:pos="560"/>
      </w:tabs>
      <w:spacing w:before="100" w:beforeAutospacing="1" w:after="100" w:afterAutospacing="1"/>
    </w:pPr>
    <w:rPr>
      <w:rFonts w:ascii="PMingLiU" w:eastAsia="PMingLiU" w:hAnsi="PMingLiU"/>
      <w:sz w:val="28"/>
      <w:szCs w:val="24"/>
      <w:lang w:val="it-IT"/>
    </w:rPr>
  </w:style>
  <w:style w:type="paragraph" w:styleId="NoSpacing">
    <w:name w:val="No Spacing"/>
    <w:uiPriority w:val="1"/>
    <w:qFormat/>
    <w:rsid w:val="00BD7489"/>
    <w:rPr>
      <w:rFonts w:ascii="Arial" w:eastAsia="Times New Roman" w:hAnsi="Arial"/>
      <w:sz w:val="26"/>
      <w:szCs w:val="24"/>
    </w:rPr>
  </w:style>
  <w:style w:type="paragraph" w:styleId="BalloonText">
    <w:name w:val="Balloon Text"/>
    <w:basedOn w:val="Normal"/>
    <w:link w:val="BalloonTextChar"/>
    <w:uiPriority w:val="99"/>
    <w:semiHidden/>
    <w:unhideWhenUsed/>
    <w:rsid w:val="00BB4BC3"/>
    <w:rPr>
      <w:rFonts w:ascii="Tahoma" w:hAnsi="Tahoma" w:cs="Tahoma"/>
      <w:sz w:val="16"/>
      <w:szCs w:val="16"/>
    </w:rPr>
  </w:style>
  <w:style w:type="character" w:customStyle="1" w:styleId="BalloonTextChar">
    <w:name w:val="Balloon Text Char"/>
    <w:link w:val="BalloonText"/>
    <w:uiPriority w:val="99"/>
    <w:semiHidden/>
    <w:rsid w:val="00BB4BC3"/>
    <w:rPr>
      <w:rFonts w:ascii="Tahoma" w:eastAsia="Times New Roman" w:hAnsi="Tahoma" w:cs="Tahoma"/>
      <w:sz w:val="16"/>
      <w:szCs w:val="16"/>
      <w:lang w:val="en-US"/>
    </w:rPr>
  </w:style>
  <w:style w:type="paragraph" w:styleId="BodyText">
    <w:name w:val="Body Text"/>
    <w:basedOn w:val="Normal"/>
    <w:link w:val="BodyTextChar"/>
    <w:semiHidden/>
    <w:unhideWhenUsed/>
    <w:rsid w:val="00E51ECC"/>
    <w:pPr>
      <w:spacing w:before="60" w:line="264" w:lineRule="auto"/>
      <w:jc w:val="center"/>
    </w:pPr>
    <w:rPr>
      <w:rFonts w:ascii=".VnTime" w:hAnsi=".VnTime"/>
      <w:b/>
      <w:szCs w:val="20"/>
    </w:rPr>
  </w:style>
  <w:style w:type="character" w:customStyle="1" w:styleId="BodyTextChar">
    <w:name w:val="Body Text Char"/>
    <w:link w:val="BodyText"/>
    <w:semiHidden/>
    <w:rsid w:val="00E51ECC"/>
    <w:rPr>
      <w:rFonts w:ascii=".VnTime" w:eastAsia="Times New Roman" w:hAnsi=".VnTime"/>
      <w:b/>
      <w:sz w:val="26"/>
    </w:rPr>
  </w:style>
  <w:style w:type="character" w:customStyle="1" w:styleId="Bodytext3">
    <w:name w:val="Body text (3)_"/>
    <w:link w:val="Bodytext30"/>
    <w:uiPriority w:val="99"/>
    <w:rsid w:val="00B34577"/>
    <w:rPr>
      <w:b/>
      <w:bCs/>
      <w:sz w:val="26"/>
      <w:szCs w:val="26"/>
      <w:shd w:val="clear" w:color="auto" w:fill="FFFFFF"/>
    </w:rPr>
  </w:style>
  <w:style w:type="paragraph" w:customStyle="1" w:styleId="Bodytext30">
    <w:name w:val="Body text (3)"/>
    <w:basedOn w:val="Normal"/>
    <w:link w:val="Bodytext3"/>
    <w:uiPriority w:val="99"/>
    <w:rsid w:val="00B34577"/>
    <w:pPr>
      <w:widowControl w:val="0"/>
      <w:shd w:val="clear" w:color="auto" w:fill="FFFFFF"/>
      <w:spacing w:after="420" w:line="317" w:lineRule="exact"/>
      <w:ind w:hanging="1200"/>
    </w:pPr>
    <w:rPr>
      <w:rFonts w:eastAsia="Arial"/>
      <w:b/>
      <w:bCs/>
    </w:rPr>
  </w:style>
  <w:style w:type="character" w:styleId="Hyperlink">
    <w:name w:val="Hyperlink"/>
    <w:uiPriority w:val="99"/>
    <w:unhideWhenUsed/>
    <w:rsid w:val="00DF0514"/>
    <w:rPr>
      <w:color w:val="0000FF"/>
      <w:u w:val="single"/>
    </w:rPr>
  </w:style>
  <w:style w:type="table" w:styleId="TableGrid">
    <w:name w:val="Table Grid"/>
    <w:basedOn w:val="TableNormal"/>
    <w:rsid w:val="002834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2793">
      <w:bodyDiv w:val="1"/>
      <w:marLeft w:val="0"/>
      <w:marRight w:val="0"/>
      <w:marTop w:val="0"/>
      <w:marBottom w:val="0"/>
      <w:divBdr>
        <w:top w:val="none" w:sz="0" w:space="0" w:color="auto"/>
        <w:left w:val="none" w:sz="0" w:space="0" w:color="auto"/>
        <w:bottom w:val="none" w:sz="0" w:space="0" w:color="auto"/>
        <w:right w:val="none" w:sz="0" w:space="0" w:color="auto"/>
      </w:divBdr>
    </w:div>
    <w:div w:id="186648751">
      <w:bodyDiv w:val="1"/>
      <w:marLeft w:val="0"/>
      <w:marRight w:val="0"/>
      <w:marTop w:val="0"/>
      <w:marBottom w:val="0"/>
      <w:divBdr>
        <w:top w:val="none" w:sz="0" w:space="0" w:color="auto"/>
        <w:left w:val="none" w:sz="0" w:space="0" w:color="auto"/>
        <w:bottom w:val="none" w:sz="0" w:space="0" w:color="auto"/>
        <w:right w:val="none" w:sz="0" w:space="0" w:color="auto"/>
      </w:divBdr>
    </w:div>
    <w:div w:id="834106188">
      <w:bodyDiv w:val="1"/>
      <w:marLeft w:val="0"/>
      <w:marRight w:val="0"/>
      <w:marTop w:val="0"/>
      <w:marBottom w:val="0"/>
      <w:divBdr>
        <w:top w:val="none" w:sz="0" w:space="0" w:color="auto"/>
        <w:left w:val="none" w:sz="0" w:space="0" w:color="auto"/>
        <w:bottom w:val="none" w:sz="0" w:space="0" w:color="auto"/>
        <w:right w:val="none" w:sz="0" w:space="0" w:color="auto"/>
      </w:divBdr>
    </w:div>
    <w:div w:id="835266613">
      <w:bodyDiv w:val="1"/>
      <w:marLeft w:val="0"/>
      <w:marRight w:val="0"/>
      <w:marTop w:val="0"/>
      <w:marBottom w:val="0"/>
      <w:divBdr>
        <w:top w:val="none" w:sz="0" w:space="0" w:color="auto"/>
        <w:left w:val="none" w:sz="0" w:space="0" w:color="auto"/>
        <w:bottom w:val="none" w:sz="0" w:space="0" w:color="auto"/>
        <w:right w:val="none" w:sz="0" w:space="0" w:color="auto"/>
      </w:divBdr>
    </w:div>
    <w:div w:id="964507327">
      <w:bodyDiv w:val="1"/>
      <w:marLeft w:val="0"/>
      <w:marRight w:val="0"/>
      <w:marTop w:val="0"/>
      <w:marBottom w:val="0"/>
      <w:divBdr>
        <w:top w:val="none" w:sz="0" w:space="0" w:color="auto"/>
        <w:left w:val="none" w:sz="0" w:space="0" w:color="auto"/>
        <w:bottom w:val="none" w:sz="0" w:space="0" w:color="auto"/>
        <w:right w:val="none" w:sz="0" w:space="0" w:color="auto"/>
      </w:divBdr>
    </w:div>
    <w:div w:id="1151483900">
      <w:bodyDiv w:val="1"/>
      <w:marLeft w:val="0"/>
      <w:marRight w:val="0"/>
      <w:marTop w:val="0"/>
      <w:marBottom w:val="0"/>
      <w:divBdr>
        <w:top w:val="none" w:sz="0" w:space="0" w:color="auto"/>
        <w:left w:val="none" w:sz="0" w:space="0" w:color="auto"/>
        <w:bottom w:val="none" w:sz="0" w:space="0" w:color="auto"/>
        <w:right w:val="none" w:sz="0" w:space="0" w:color="auto"/>
      </w:divBdr>
    </w:div>
    <w:div w:id="1573655779">
      <w:bodyDiv w:val="1"/>
      <w:marLeft w:val="0"/>
      <w:marRight w:val="0"/>
      <w:marTop w:val="0"/>
      <w:marBottom w:val="0"/>
      <w:divBdr>
        <w:top w:val="none" w:sz="0" w:space="0" w:color="auto"/>
        <w:left w:val="none" w:sz="0" w:space="0" w:color="auto"/>
        <w:bottom w:val="none" w:sz="0" w:space="0" w:color="auto"/>
        <w:right w:val="none" w:sz="0" w:space="0" w:color="auto"/>
      </w:divBdr>
    </w:div>
    <w:div w:id="1786382271">
      <w:bodyDiv w:val="1"/>
      <w:marLeft w:val="0"/>
      <w:marRight w:val="0"/>
      <w:marTop w:val="0"/>
      <w:marBottom w:val="0"/>
      <w:divBdr>
        <w:top w:val="none" w:sz="0" w:space="0" w:color="auto"/>
        <w:left w:val="none" w:sz="0" w:space="0" w:color="auto"/>
        <w:bottom w:val="none" w:sz="0" w:space="0" w:color="auto"/>
        <w:right w:val="none" w:sz="0" w:space="0" w:color="auto"/>
      </w:divBdr>
    </w:div>
    <w:div w:id="2117409262">
      <w:bodyDiv w:val="1"/>
      <w:marLeft w:val="0"/>
      <w:marRight w:val="0"/>
      <w:marTop w:val="0"/>
      <w:marBottom w:val="0"/>
      <w:divBdr>
        <w:top w:val="none" w:sz="0" w:space="0" w:color="auto"/>
        <w:left w:val="none" w:sz="0" w:space="0" w:color="auto"/>
        <w:bottom w:val="none" w:sz="0" w:space="0" w:color="auto"/>
        <w:right w:val="none" w:sz="0" w:space="0" w:color="auto"/>
      </w:divBdr>
    </w:div>
    <w:div w:id="21207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thong-tu-56-2023-tt-btc-lap-du-toan-kinh-phi-bao-dam-cho-pho-bien-giao-duc-phap-luat-577311.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0A75-251B-4D16-8ADC-00FBBEDA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VP022016</dc:creator>
  <cp:lastModifiedBy>đào anh</cp:lastModifiedBy>
  <cp:revision>64</cp:revision>
  <cp:lastPrinted>2022-07-18T02:51:00Z</cp:lastPrinted>
  <dcterms:created xsi:type="dcterms:W3CDTF">2026-03-18T14:45:00Z</dcterms:created>
  <dcterms:modified xsi:type="dcterms:W3CDTF">2026-03-21T13:58:00Z</dcterms:modified>
</cp:coreProperties>
</file>